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framePr w:w="1594" w:h="619" w:wrap="none" w:hAnchor="page" w:x="8985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RPW/82004/2026 P</w:t>
      </w:r>
    </w:p>
    <w:p>
      <w:pPr>
        <w:pStyle w:val="Style2"/>
        <w:keepNext w:val="0"/>
        <w:keepLines w:val="0"/>
        <w:framePr w:w="1594" w:h="619" w:wrap="none" w:hAnchor="page" w:x="8985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Data:2026-09-23</w:t>
      </w:r>
    </w:p>
    <w:p>
      <w:pPr>
        <w:pStyle w:val="Style2"/>
        <w:keepNext w:val="0"/>
        <w:keepLines w:val="0"/>
        <w:framePr w:w="1594" w:h="619" w:wrap="none" w:hAnchor="page" w:x="8985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3"/>
        </w:rPr>
        <w:t>NKiS</w:t>
      </w:r>
    </w:p>
    <w:p>
      <w:pPr>
        <w:pStyle w:val="Style4"/>
        <w:keepNext w:val="0"/>
        <w:keepLines w:val="0"/>
        <w:framePr w:w="235" w:h="274" w:wrap="none" w:hAnchor="page" w:x="9057" w:y="10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4"/>
          <w:szCs w:val="24"/>
        </w:rPr>
      </w:pPr>
      <w:r>
        <w:rPr>
          <w:rStyle w:val="CharStyle5"/>
          <w:color w:val="A3A3A3"/>
          <w:sz w:val="24"/>
          <w:szCs w:val="24"/>
        </w:rPr>
        <w:t>®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75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81" w:right="1073" w:bottom="1164" w:left="1222" w:header="653" w:footer="736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25400" distB="307340" distL="114300" distR="114300" simplePos="0" relativeHeight="125829378" behindDoc="0" locked="0" layoutInCell="1" allowOverlap="1">
                <wp:simplePos x="0" y="0"/>
                <wp:positionH relativeFrom="page">
                  <wp:posOffset>5335905</wp:posOffset>
                </wp:positionH>
                <wp:positionV relativeFrom="paragraph">
                  <wp:posOffset>52070</wp:posOffset>
                </wp:positionV>
                <wp:extent cx="1450975" cy="173990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50975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>Warszawa, 22.09.2026r.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20.15000000000003pt;margin-top:4.0999999999999996pt;width:114.25pt;height:13.700000000000001pt;z-index:-125829375;mso-wrap-distance-left:9.pt;mso-wrap-distance-top:2.pt;mso-wrap-distance-right:9.pt;mso-wrap-distance-bottom:24.199999999999999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>Warszawa, 22.09.2026r.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69240" distB="63500" distL="132715" distR="608330" simplePos="0" relativeHeight="125829380" behindDoc="0" locked="0" layoutInCell="1" allowOverlap="1">
                <wp:simplePos x="0" y="0"/>
                <wp:positionH relativeFrom="page">
                  <wp:posOffset>5354320</wp:posOffset>
                </wp:positionH>
                <wp:positionV relativeFrom="paragraph">
                  <wp:posOffset>295910</wp:posOffset>
                </wp:positionV>
                <wp:extent cx="938530" cy="173990"/>
                <wp:wrapTopAndBottom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38530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>L.dz. 27/2026r/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21.60000000000002pt;margin-top:23.300000000000001pt;width:73.900000000000006pt;height:13.700000000000001pt;z-index:-125829373;mso-wrap-distance-left:10.450000000000001pt;mso-wrap-distance-top:21.199999999999999pt;mso-wrap-distance-right:47.899999999999999pt;mso-wrap-distance-bottom:5.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>L.dz. 27/2026r/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7"/>
        <w:keepNext w:val="0"/>
        <w:keepLines w:val="0"/>
        <w:widowControl w:val="0"/>
        <w:shd w:val="clear" w:color="auto" w:fill="auto"/>
        <w:bidi w:val="0"/>
        <w:spacing w:before="0" w:after="140"/>
        <w:ind w:right="0" w:hanging="160"/>
        <w:jc w:val="both"/>
        <w:rPr>
          <w:sz w:val="26"/>
          <w:szCs w:val="26"/>
        </w:rPr>
      </w:pPr>
      <w:r>
        <w:rPr>
          <w:rStyle w:val="CharStyle8"/>
        </w:rPr>
        <w:t xml:space="preserve">MINISTERSTWO KLIMATU I ŚRODOWISKA ' </w:t>
      </w:r>
      <w:r>
        <w:rPr>
          <w:rStyle w:val="CharStyle8"/>
          <w:u w:val="single"/>
        </w:rPr>
        <w:t xml:space="preserve">KANCELARIA </w:t>
      </w:r>
      <w:r>
        <w:rPr>
          <w:rStyle w:val="CharStyle8"/>
          <w:rFonts w:ascii="Courier New" w:eastAsia="Courier New" w:hAnsi="Courier New" w:cs="Courier New"/>
          <w:smallCaps/>
          <w:sz w:val="26"/>
          <w:szCs w:val="26"/>
          <w:u w:val="single"/>
        </w:rPr>
        <w:t>ogólna</w:t>
      </w:r>
    </w:p>
    <w:p>
      <w:pPr>
        <w:pStyle w:val="Style1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0" w:name="bookmark0"/>
      <w:r>
        <w:rPr>
          <w:rStyle w:val="CharStyle12"/>
        </w:rPr>
        <w:t>fi 2026 -09- 2 3</w:t>
      </w:r>
      <w:bookmarkEnd w:id="0"/>
    </w:p>
    <w:p>
      <w:pPr>
        <w:pStyle w:val="Style7"/>
        <w:keepNext w:val="0"/>
        <w:keepLines w:val="0"/>
        <w:widowControl w:val="0"/>
        <w:shd w:val="clear" w:color="auto" w:fill="auto"/>
        <w:tabs>
          <w:tab w:pos="1867" w:val="left"/>
        </w:tabs>
        <w:bidi w:val="0"/>
        <w:spacing w:before="0" w:after="240" w:line="223" w:lineRule="auto"/>
        <w:ind w:left="0" w:right="0" w:firstLine="0"/>
        <w:jc w:val="left"/>
      </w:pPr>
      <w:r>
        <w:rPr>
          <w:rStyle w:val="CharStyle8"/>
        </w:rPr>
        <w:t>Ł 3</w:t>
        <w:tab/>
        <w:t>-</w:t>
      </w:r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4"/>
        </w:rPr>
        <w:t>L. dz. ,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5"/>
        </w:rPr>
        <w:t>Pani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81" w:right="2922" w:bottom="1164" w:left="1256" w:header="0" w:footer="3" w:gutter="0"/>
          <w:cols w:num="2" w:space="720" w:equalWidth="0">
            <w:col w:w="2707" w:space="1915"/>
            <w:col w:w="3101"/>
          </w:cols>
          <w:noEndnote/>
          <w:rtlGutter w:val="0"/>
          <w:docGrid w:linePitch="360"/>
        </w:sectPr>
      </w:pPr>
      <w:r>
        <w:rPr>
          <w:rStyle w:val="CharStyle5"/>
          <w:b/>
          <w:bCs/>
          <w:color w:val="000000"/>
        </w:rPr>
        <w:t xml:space="preserve">Paulina Hennig-Kloska Minister Klimatu i Środowiska </w:t>
      </w:r>
      <w:r>
        <w:rPr>
          <w:rStyle w:val="CharStyle5"/>
        </w:rPr>
        <w:t>ul. Wawelska 52/54 00-922 Warszawa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5" w:after="15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81" w:right="0" w:bottom="1081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80" w:line="266" w:lineRule="auto"/>
        <w:ind w:left="0" w:right="0" w:firstLine="0"/>
        <w:jc w:val="center"/>
        <w:rPr>
          <w:sz w:val="24"/>
          <w:szCs w:val="24"/>
        </w:rPr>
      </w:pPr>
      <w:r>
        <w:rPr>
          <w:rStyle w:val="CharStyle5"/>
          <w:b/>
          <w:bCs/>
          <w:color w:val="000000"/>
          <w:sz w:val="24"/>
          <w:szCs w:val="24"/>
        </w:rPr>
        <w:t>Apel o pilne przedłużenie ochrony ciągłości zezwoleń</w:t>
        <w:br/>
        <w:t>na zbieranie i przetwarzanie odpadów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5"/>
        </w:rPr>
        <w:t>Szanowna Pani Minister,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5"/>
        </w:rPr>
        <w:t xml:space="preserve">Związek , reprezentujący przedsiębiorców branży szklarskiej, zwraca się o </w:t>
      </w:r>
      <w:r>
        <w:rPr>
          <w:rStyle w:val="CharStyle5"/>
          <w:b/>
          <w:bCs/>
        </w:rPr>
        <w:t xml:space="preserve">pilne podjęcie prac </w:t>
      </w:r>
      <w:r>
        <w:rPr>
          <w:rStyle w:val="CharStyle5"/>
          <w:b/>
          <w:bCs/>
          <w:color w:val="000000"/>
        </w:rPr>
        <w:t xml:space="preserve">legislacyjnych </w:t>
      </w:r>
      <w:r>
        <w:rPr>
          <w:rStyle w:val="CharStyle5"/>
        </w:rPr>
        <w:t>zapewniających ciągłość działalności przedsiębiorcom oczekującym na rozpatrzenie terminowo złożonych wniosków o nowe zezwolenia na zbieranie lub przetwarzanie odpadów. Wnosimy o przygotowanie rządowego projektu ustawy i podjęcie działań zmierzających do jego skierowania do Sejmu, tak aby nowe przepisy weszły w życie przed końcem 2026 r.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5"/>
        </w:rPr>
        <w:t>Przedłużające się postępowania, obciążenie organów administracji oraz czas potrzebny na uzyskanie wymaganych dokumentów i przeprowadzenie kontroli stwarzają ryzyko przerwania legalnej działalności mimo dochowania przez przedsiębiorców ustawowych terminów. Zależność kolejnych etapów od działań urzędów gmin, inspekcji ochrony środowiska i organów wydających zezwolenia, zaangażowanych stosownie do zakresu danej sprawy, powoduje, że nawet znaczne wyprzedzenie w złożeniu wniosku nie gwarantuje zakończenia procedury przed upływem okresu obowiązywania dotychczasowej decyzji.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5"/>
        </w:rPr>
        <w:t xml:space="preserve">W ocenie Związku problem należy rozpatrywać jako </w:t>
      </w:r>
      <w:r>
        <w:rPr>
          <w:rStyle w:val="CharStyle5"/>
          <w:b/>
          <w:bCs/>
          <w:color w:val="000000"/>
        </w:rPr>
        <w:t xml:space="preserve">ryzyko systemowe dla gospodarki, </w:t>
      </w:r>
      <w:r>
        <w:rPr>
          <w:rStyle w:val="CharStyle5"/>
        </w:rPr>
        <w:t>a nie wyłącznie trudność pojedynczych przedsiębiorstw. Przymusowe przestoje mogą prowadzić do utraty kontraktów i miejsc pracy, wzrostu kosztów zagospodarowania odpadów oraz zakłóceń w łańcuchach dostaw. Późniejsze wydanie zezwolenia nie odwróci wszystkich skutków gospodarczych przerwania działalności.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 w:line="262" w:lineRule="auto"/>
        <w:ind w:left="0" w:right="0" w:firstLine="0"/>
        <w:jc w:val="both"/>
      </w:pPr>
      <w:r>
        <w:rPr>
          <w:rStyle w:val="CharStyle5"/>
        </w:rPr>
        <w:t>Dla branży szklarskiej szczególne znaczenie ma ciągłość zbierania i przygotowania stłuczki do recyklingu. Przestoje w tym łańcuchu mogą zakłócać dostawy surowca do hut i utrudniać realizację celów gospodarki o obiegu zamkniętym. Postulowane rozwiązanie powinno jednak obejmować wszystkich przedsiębiorców spełniających ustawowe warunki, bez ograniczania go do branży szklarskiej.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81" w:right="1193" w:bottom="1081" w:left="1222" w:header="0" w:footer="3" w:gutter="0"/>
          <w:cols w:space="720"/>
          <w:noEndnote/>
          <w:rtlGutter w:val="0"/>
          <w:docGrid w:linePitch="360"/>
        </w:sectPr>
      </w:pPr>
      <w:r>
        <w:rPr>
          <w:rStyle w:val="CharStyle5"/>
        </w:rPr>
        <w:t>Ustawodawca wprowadził już mechanizm ochronny w art. 226a ustawy o odpadach, dodanym przez art. 45 pkt 2 ustawy z dnia 7 października 2022 r. o szczególnych rozwiązaniach służących ochronie odbiorców energii elektrycznej w 2023 roku w związku z sytuacją na rynku energii elektrycznej (Dz. U. z 2022 r. poz. 2127). Zasadniczym warunkiem ochrony przed wygaśnięciem zezwolenia wskutek upływu czasu było złożenie wniosku o nowe zezwolenie co najmniej trzy miesiące przed końcem okresu, na który wydano dotychczasowe zezwolenie. Mechanizm pierwotnie przewidziano do 31 grudnia 2025 r.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66" w:lineRule="auto"/>
        <w:ind w:left="0" w:right="0" w:firstLine="0"/>
        <w:jc w:val="both"/>
      </w:pPr>
      <w:r>
        <w:rPr>
          <w:rStyle w:val="CharStyle5"/>
          <w:color w:val="000000"/>
        </w:rPr>
        <w:t xml:space="preserve">Następnie art. 2 ustawy z dnia 7 listopada 2025 r. o zmianie ustawy - Prawo ochrony środowiska oraz niektórych innych ustaw (Dz. U. z 2025 r. poz. 1812) wydłużył ten okres do </w:t>
      </w:r>
      <w:r>
        <w:rPr>
          <w:rStyle w:val="CharStyle5"/>
          <w:b/>
          <w:bCs/>
          <w:color w:val="000000"/>
        </w:rPr>
        <w:t xml:space="preserve">31 grudnia 2026 r. </w:t>
      </w:r>
      <w:r>
        <w:rPr>
          <w:rStyle w:val="CharStyle5"/>
          <w:color w:val="000000"/>
        </w:rPr>
        <w:t xml:space="preserve">Jednocześnie art. 4 pkt 2 nowelizacji zmienił art. 60 ustawy z 2022 r., ustalając utratę mocy art. 226a na </w:t>
      </w:r>
      <w:r>
        <w:rPr>
          <w:rStyle w:val="CharStyle5"/>
          <w:b/>
          <w:bCs/>
          <w:color w:val="000000"/>
        </w:rPr>
        <w:t xml:space="preserve">1 stycznia 2027 r. </w:t>
      </w:r>
      <w:r>
        <w:rPr>
          <w:rStyle w:val="CharStyle5"/>
          <w:color w:val="000000"/>
        </w:rPr>
        <w:t>Ochrona nadal ma zatem charakter czasowy.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66" w:lineRule="auto"/>
        <w:ind w:left="0" w:right="0" w:firstLine="0"/>
        <w:jc w:val="both"/>
      </w:pPr>
      <w:r>
        <w:rPr>
          <w:rStyle w:val="CharStyle5"/>
          <w:color w:val="000000"/>
        </w:rPr>
        <w:t xml:space="preserve">Całego problemu nie rozwiązuje uproszczenie wprowadzane od </w:t>
      </w:r>
      <w:r>
        <w:rPr>
          <w:rStyle w:val="CharStyle5"/>
          <w:b/>
          <w:bCs/>
          <w:color w:val="000000"/>
        </w:rPr>
        <w:t xml:space="preserve">1 stycznia 2027 r. </w:t>
      </w:r>
      <w:r>
        <w:rPr>
          <w:rStyle w:val="CharStyle5"/>
          <w:color w:val="000000"/>
        </w:rPr>
        <w:t>ustawą z dnia 11 czerwca 2026 r. (Dz. U. z 2026 r. poz. 875). Dodawany art. 44 ust. 4—9 ustawy o odpadach przewiduje milczące przedłużenie zezwolenia tylko w ustawowo określonym zakresie i nie dłużej niż do upływu dziesięciu lat od jego wydania. Nie zastępuje więc ochrony przedsiębiorców oczekujących na nowe zezwolenie po wykorzystaniu tego okresu. Ponadto art. 18 pkt 8 nowelizacji pozostawia na dotychczasowych zasadach postępowania o przedłużenie zezwoleń wszczęte i niezakończone przed jej wejściem w życie.</w:t>
      </w:r>
    </w:p>
    <w:p>
      <w:pPr>
        <w:pStyle w:val="Style4"/>
        <w:keepNext w:val="0"/>
        <w:keepLines w:val="0"/>
        <w:widowControl w:val="0"/>
        <w:shd w:val="clear" w:color="auto" w:fill="auto"/>
        <w:tabs>
          <w:tab w:pos="6427" w:val="left"/>
        </w:tabs>
        <w:bidi w:val="0"/>
        <w:spacing w:before="0"/>
        <w:ind w:left="0" w:right="0" w:firstLine="0"/>
        <w:jc w:val="both"/>
      </w:pPr>
      <w:r>
        <w:rPr>
          <w:rStyle w:val="CharStyle5"/>
          <w:b/>
          <w:bCs/>
          <w:color w:val="000000"/>
        </w:rPr>
        <w:t>W związku z powyższym Związek</w:t>
        <w:tab/>
        <w:t>wnosi o: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93" w:val="left"/>
        </w:tabs>
        <w:bidi w:val="0"/>
        <w:spacing w:before="0"/>
        <w:ind w:left="320" w:right="0" w:hanging="320"/>
        <w:jc w:val="both"/>
      </w:pPr>
      <w:r>
        <w:rPr>
          <w:rStyle w:val="CharStyle5"/>
          <w:b/>
          <w:bCs/>
          <w:color w:val="000000"/>
        </w:rPr>
        <w:t xml:space="preserve">Przedłużenie mechanizmu ochronnego z art. 226a co najmniej do 31 grudnia 2028 r., </w:t>
      </w:r>
      <w:r>
        <w:rPr>
          <w:rStyle w:val="CharStyle5"/>
          <w:color w:val="000000"/>
        </w:rPr>
        <w:t>wraz z odpowiednią zmianą art. 60 ust. 2 ustawy z dnia 7 października 2022 r., tak aby przepisy ochronne nie utraciły mocy przed zakończeniem przedłużonego okresu.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93" w:val="left"/>
        </w:tabs>
        <w:bidi w:val="0"/>
        <w:spacing w:before="0"/>
        <w:ind w:left="320" w:right="0" w:hanging="320"/>
        <w:jc w:val="both"/>
      </w:pPr>
      <w:r>
        <w:rPr>
          <w:rStyle w:val="CharStyle5"/>
          <w:b/>
          <w:bCs/>
          <w:color w:val="000000"/>
        </w:rPr>
        <w:t xml:space="preserve">Jednoznaczne objęcie ochroną postępowań już wszczętych i niezakończonych, </w:t>
      </w:r>
      <w:r>
        <w:rPr>
          <w:rStyle w:val="CharStyle5"/>
          <w:color w:val="000000"/>
        </w:rPr>
        <w:t>w tym przedsiębiorców korzystających obecnie z art. 226a, bez obowiązku ponownego składania wniosków, oraz zapewnienie wejścia nowych przepisów w życie przed końcem 2026 r.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93" w:val="left"/>
        </w:tabs>
        <w:bidi w:val="0"/>
        <w:spacing w:before="0"/>
        <w:ind w:left="320" w:right="0" w:hanging="320"/>
        <w:jc w:val="both"/>
      </w:pPr>
      <w:r>
        <w:rPr>
          <w:rStyle w:val="CharStyle5"/>
          <w:b/>
          <w:bCs/>
          <w:color w:val="000000"/>
        </w:rPr>
        <w:t xml:space="preserve">Docelowe wprowadzenie stałej zasady zachowania ciągłości zezwoleń </w:t>
      </w:r>
      <w:r>
        <w:rPr>
          <w:rStyle w:val="CharStyle5"/>
          <w:color w:val="000000"/>
        </w:rPr>
        <w:t>po złożeniu wniosku z wymaganym wyprzedzeniem, do ostatecznego rozstrzygnięcia sprawy albo pozostawienia wniosku bez rozpatrzenia, przy obowiązku terminowego wykonywania wezwań organu.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66" w:lineRule="auto"/>
        <w:ind w:left="0" w:right="0" w:firstLine="0"/>
        <w:jc w:val="both"/>
      </w:pPr>
      <w:r>
        <w:rPr>
          <w:rStyle w:val="CharStyle5"/>
          <w:color w:val="000000"/>
        </w:rPr>
        <w:t>Ochrona powinna dotyczyć wyłącznie działalności w granicach dotychczasowego zezwolenia, z zachowaniem obowiązków środowiskowych, wymaganego zabezpieczenia roszczeń oraz uprawnień kontrolnych i sankcyjnych organów. Nie postulujemy legalizacji naruszeń, automatycznego rozszerzania zakresu działalności ani obniżenia standardów ochrony środowiska.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both"/>
      </w:pPr>
      <w:r>
        <w:rPr>
          <w:rStyle w:val="CharStyle5"/>
          <w:color w:val="000000"/>
        </w:rPr>
        <w:t>Apelujemy o potraktowanie sprawy jako pilnej interwencji służącej bezpieczeństwu obrotu gospodarczego, ochronie miejsc pracy i stabilności krajowego systemu gospodarowania odpadami. Koszty niezakończenia postępowań przez administrację nie powinny prowadzić do eliminowania z rynku przedsiębiorców, którzy dochowali ustawowych terminów i współpracują z organami.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40"/>
        <w:ind w:left="0" w:right="0" w:firstLine="0"/>
        <w:jc w:val="both"/>
      </w:pPr>
      <w:r>
        <w:rPr>
          <w:rStyle w:val="CharStyle5"/>
          <w:color w:val="000000"/>
        </w:rPr>
        <w:t>Prosimy o pisemną informację o stanowisku Ministerstwa, planowanych działaniach legislacyjnych i ich harmonogramie oraz o włączenie Związku w konsultacje projektowanych rozwiązań.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5"/>
          <w:color w:val="000000"/>
        </w:rPr>
        <w:t>Z wyrazami szacunku</w:t>
      </w:r>
    </w:p>
    <w:sectPr>
      <w:footnotePr>
        <w:pos w:val="pageBottom"/>
        <w:numFmt w:val="decimal"/>
        <w:numRestart w:val="continuous"/>
      </w:footnotePr>
      <w:pgSz w:w="11900" w:h="16840"/>
      <w:pgMar w:top="972" w:right="1136" w:bottom="972" w:left="1275" w:header="544" w:footer="544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Body text (3)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2E2E2E"/>
      <w:sz w:val="15"/>
      <w:szCs w:val="15"/>
      <w:u w:val="none"/>
    </w:rPr>
  </w:style>
  <w:style w:type="character" w:customStyle="1" w:styleId="CharStyle5">
    <w:name w:val="Body text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E2E2E"/>
      <w:sz w:val="22"/>
      <w:szCs w:val="22"/>
      <w:u w:val="none"/>
    </w:rPr>
  </w:style>
  <w:style w:type="character" w:customStyle="1" w:styleId="CharStyle8">
    <w:name w:val="Body text (2)_"/>
    <w:basedOn w:val="DefaultParagraphFont"/>
    <w:link w:val="Style7"/>
    <w:rPr>
      <w:rFonts w:ascii="Tahoma" w:eastAsia="Tahoma" w:hAnsi="Tahoma" w:cs="Tahoma"/>
      <w:b w:val="0"/>
      <w:bCs w:val="0"/>
      <w:i w:val="0"/>
      <w:iCs w:val="0"/>
      <w:smallCaps w:val="0"/>
      <w:strike w:val="0"/>
      <w:color w:val="7E7E7E"/>
      <w:sz w:val="14"/>
      <w:szCs w:val="14"/>
      <w:u w:val="none"/>
    </w:rPr>
  </w:style>
  <w:style w:type="character" w:customStyle="1" w:styleId="CharStyle12">
    <w:name w:val="Heading #1_"/>
    <w:basedOn w:val="DefaultParagraphFont"/>
    <w:link w:val="Style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E7E7E"/>
      <w:w w:val="70"/>
      <w:sz w:val="28"/>
      <w:szCs w:val="28"/>
      <w:u w:val="none"/>
    </w:rPr>
  </w:style>
  <w:style w:type="character" w:customStyle="1" w:styleId="CharStyle14">
    <w:name w:val="Body text (4)_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color w:val="7E7E7E"/>
      <w:sz w:val="20"/>
      <w:szCs w:val="20"/>
      <w:u w:val="none"/>
    </w:rPr>
  </w:style>
  <w:style w:type="paragraph" w:customStyle="1" w:styleId="Style2">
    <w:name w:val="Body text (3)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E2E2E"/>
      <w:sz w:val="15"/>
      <w:szCs w:val="15"/>
      <w:u w:val="none"/>
    </w:rPr>
  </w:style>
  <w:style w:type="paragraph" w:styleId="Style4">
    <w:name w:val="Body text"/>
    <w:basedOn w:val="Normal"/>
    <w:link w:val="CharStyle5"/>
    <w:qFormat/>
    <w:pPr>
      <w:widowControl w:val="0"/>
      <w:shd w:val="clear" w:color="auto" w:fill="auto"/>
      <w:spacing w:after="100" w:line="264" w:lineRule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E2E2E"/>
      <w:sz w:val="22"/>
      <w:szCs w:val="22"/>
      <w:u w:val="none"/>
    </w:rPr>
  </w:style>
  <w:style w:type="paragraph" w:customStyle="1" w:styleId="Style7">
    <w:name w:val="Body text (2)"/>
    <w:basedOn w:val="Normal"/>
    <w:link w:val="CharStyle8"/>
    <w:pPr>
      <w:widowControl w:val="0"/>
      <w:shd w:val="clear" w:color="auto" w:fill="auto"/>
      <w:spacing w:after="190" w:line="266" w:lineRule="auto"/>
      <w:ind w:left="160" w:hanging="80"/>
    </w:pPr>
    <w:rPr>
      <w:rFonts w:ascii="Tahoma" w:eastAsia="Tahoma" w:hAnsi="Tahoma" w:cs="Tahoma"/>
      <w:b w:val="0"/>
      <w:bCs w:val="0"/>
      <w:i w:val="0"/>
      <w:iCs w:val="0"/>
      <w:smallCaps w:val="0"/>
      <w:strike w:val="0"/>
      <w:color w:val="7E7E7E"/>
      <w:sz w:val="14"/>
      <w:szCs w:val="14"/>
      <w:u w:val="none"/>
    </w:rPr>
  </w:style>
  <w:style w:type="paragraph" w:customStyle="1" w:styleId="Style11">
    <w:name w:val="Heading #1"/>
    <w:basedOn w:val="Normal"/>
    <w:link w:val="CharStyle12"/>
    <w:pPr>
      <w:widowControl w:val="0"/>
      <w:shd w:val="clear" w:color="auto" w:fill="auto"/>
      <w:outlineLvl w:val="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7E7E7E"/>
      <w:w w:val="70"/>
      <w:sz w:val="28"/>
      <w:szCs w:val="28"/>
      <w:u w:val="none"/>
    </w:rPr>
  </w:style>
  <w:style w:type="paragraph" w:customStyle="1" w:styleId="Style13">
    <w:name w:val="Body text (4)"/>
    <w:basedOn w:val="Normal"/>
    <w:link w:val="CharStyle14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7E7E7E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Kodak Capture Pro Software</dc:title>
  <dc:subject/>
  <dc:creator>Kodak Capture Pro ( Software )</dc:creator>
  <cp:keywords/>
</cp:coreProperties>
</file>