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3E" w:rsidRPr="006A754C" w:rsidRDefault="00E16F3E" w:rsidP="00E16F3E">
      <w:pPr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Ogłoszenie </w:t>
      </w:r>
    </w:p>
    <w:p w:rsidR="00E16F3E" w:rsidRPr="006A754C" w:rsidRDefault="00E16F3E" w:rsidP="00E16F3E">
      <w:pPr>
        <w:spacing w:after="0" w:line="360" w:lineRule="auto"/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</w:rPr>
        <w:t>W sprawie konkursów na wybór realizatorów zadania Narodowego Programu Zwalczania Chorób Nowotworowych, pn.:</w:t>
      </w:r>
    </w:p>
    <w:p w:rsidR="00E16F3E" w:rsidRPr="006A754C" w:rsidRDefault="00E16F3E" w:rsidP="00E16F3E">
      <w:pPr>
        <w:spacing w:after="0" w:line="360" w:lineRule="auto"/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>Doposażenie zakładów radioterapii w zakresie wymiany akceleratorów,</w:t>
      </w:r>
    </w:p>
    <w:p w:rsidR="00E16F3E" w:rsidRPr="006A754C" w:rsidRDefault="00E16F3E" w:rsidP="00E16F3E">
      <w:pPr>
        <w:spacing w:after="0"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 xml:space="preserve">W związku ze zmianą formy przekazywania Ofert w roku 2019 na ww. konkurs, Departament Oceny Inwestycji informuje, że Komisja Konkursowa na pierwszym posiedzeniu w sprawie otwarcia ofert, które odbyło się 27 </w:t>
      </w:r>
      <w:r>
        <w:rPr>
          <w:rFonts w:ascii="Arial" w:hAnsi="Arial" w:cs="Arial"/>
        </w:rPr>
        <w:t xml:space="preserve">maja </w:t>
      </w:r>
      <w:r w:rsidRPr="006A754C">
        <w:rPr>
          <w:rFonts w:ascii="Arial" w:hAnsi="Arial" w:cs="Arial"/>
        </w:rPr>
        <w:t xml:space="preserve">2019 r.  stwierdziła wpłynięcie Ofert przekazanych przez e-PUAP od następujących Oferentów, na konkursy na wybór realizatorów zadania Narodowego Programu Zwalczania Chorób Nowotworowych, pn.: </w:t>
      </w:r>
    </w:p>
    <w:p w:rsidR="00E16F3E" w:rsidRPr="006A754C" w:rsidRDefault="00E16F3E" w:rsidP="00E16F3E">
      <w:pPr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>„Doposażenie zakładów radioterapii” w 2019 r.  w zakresie wymiany akceleratorów</w:t>
      </w:r>
    </w:p>
    <w:p w:rsidR="00E16F3E" w:rsidRPr="006A754C" w:rsidRDefault="00E16F3E" w:rsidP="00E16F3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Dolnośląskie Centrum Onkologii we Wrocławiu, pl. Ludwika Hirszfelda 12, 53-413 Wrocław;</w:t>
      </w:r>
    </w:p>
    <w:p w:rsidR="00E16F3E" w:rsidRPr="006A754C" w:rsidRDefault="00E16F3E" w:rsidP="00E16F3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Centrum Onkologii Ziemi Lubelskiej im. Św. Jana z Dukli, ul. Dra Kazimierza Jaczewskiego 7, 20-090 Lublin;</w:t>
      </w:r>
    </w:p>
    <w:p w:rsidR="00E16F3E" w:rsidRPr="006A754C" w:rsidRDefault="00E16F3E" w:rsidP="00E16F3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 xml:space="preserve">Wojewódzkie Wielospecjalistyczne Centrum Onkologii i Traumatologii im. M. Kopernika w Łodzi, ul. Pabianicka 62, 93-513 Łódź; </w:t>
      </w:r>
    </w:p>
    <w:p w:rsidR="00E16F3E" w:rsidRPr="006A754C" w:rsidRDefault="00E16F3E" w:rsidP="00E16F3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Szpital Wojewódzki im. Św. Łukasza Samodzielny Publiczny Zakład Opieki Zdrowotnej w Tarnowie, ul. Lwowska 178A, 33-100 Tarnów;</w:t>
      </w:r>
    </w:p>
    <w:p w:rsidR="00E16F3E" w:rsidRPr="006A754C" w:rsidRDefault="00E16F3E" w:rsidP="00E16F3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Szpital Specjalistyczny w Brzozowie Podkarpacki Ośrodek Onkologiczny im. Ks. B. Markiewicza, ul. Ks. Józefa Bielawskiego 18, 36-200 Brzozów;</w:t>
      </w:r>
    </w:p>
    <w:p w:rsidR="00E16F3E" w:rsidRPr="006A754C" w:rsidRDefault="00E16F3E" w:rsidP="00E16F3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Kliniczny Szpital Wojewódzki Nr 1 im. Fryderyka Chopina w Rzeszowie, ul. Szopena 2, 35-055 Rzeszów;</w:t>
      </w:r>
    </w:p>
    <w:p w:rsidR="00E16F3E" w:rsidRPr="006A754C" w:rsidRDefault="00E16F3E" w:rsidP="00E16F3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Szpitale Pomorskie Sp. z o. o., ul. Powstania Styczniowego 1, 81-519 Gdynia;</w:t>
      </w:r>
    </w:p>
    <w:p w:rsidR="00E16F3E" w:rsidRPr="006A754C" w:rsidRDefault="00E16F3E" w:rsidP="00E16F3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Wojewódzki Szpital Specjalistyczny im. Najświętszej Maryi Panny, ul. Bialska 104/118, 42-200 Częstochowa;</w:t>
      </w:r>
    </w:p>
    <w:p w:rsidR="00E16F3E" w:rsidRPr="006A754C" w:rsidRDefault="00E16F3E" w:rsidP="00E16F3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 xml:space="preserve">Świętokrzyskie Centrum Onkologii, ul. Stefana </w:t>
      </w:r>
      <w:proofErr w:type="spellStart"/>
      <w:r w:rsidRPr="006A754C">
        <w:rPr>
          <w:rFonts w:ascii="Arial" w:hAnsi="Arial" w:cs="Arial"/>
        </w:rPr>
        <w:t>Artwińskiego</w:t>
      </w:r>
      <w:proofErr w:type="spellEnd"/>
      <w:r w:rsidRPr="006A754C">
        <w:rPr>
          <w:rFonts w:ascii="Arial" w:hAnsi="Arial" w:cs="Arial"/>
        </w:rPr>
        <w:t xml:space="preserve"> 3, 25-734 Kielce;</w:t>
      </w:r>
    </w:p>
    <w:p w:rsidR="00E16F3E" w:rsidRPr="006A754C" w:rsidRDefault="00E16F3E" w:rsidP="00E16F3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 xml:space="preserve">Wielkopolskie Centrum Onkologii im. Marii Skłodowskiej – Curie, ul. </w:t>
      </w:r>
      <w:proofErr w:type="spellStart"/>
      <w:r w:rsidRPr="006A754C">
        <w:rPr>
          <w:rFonts w:ascii="Arial" w:hAnsi="Arial" w:cs="Arial"/>
        </w:rPr>
        <w:t>Garbary</w:t>
      </w:r>
      <w:proofErr w:type="spellEnd"/>
      <w:r w:rsidRPr="006A754C">
        <w:rPr>
          <w:rFonts w:ascii="Arial" w:hAnsi="Arial" w:cs="Arial"/>
        </w:rPr>
        <w:t xml:space="preserve"> 15, 61-866 Poznań;</w:t>
      </w:r>
    </w:p>
    <w:p w:rsidR="00E16F3E" w:rsidRPr="006A754C" w:rsidRDefault="00E16F3E" w:rsidP="00E16F3E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 xml:space="preserve">Zachodniopomorskie Centrum Onkologii, ul. </w:t>
      </w:r>
      <w:proofErr w:type="spellStart"/>
      <w:r w:rsidRPr="006A754C">
        <w:rPr>
          <w:rFonts w:ascii="Arial" w:hAnsi="Arial" w:cs="Arial"/>
        </w:rPr>
        <w:t>Strzałowska</w:t>
      </w:r>
      <w:proofErr w:type="spellEnd"/>
      <w:r w:rsidRPr="006A754C">
        <w:rPr>
          <w:rFonts w:ascii="Arial" w:hAnsi="Arial" w:cs="Arial"/>
        </w:rPr>
        <w:t xml:space="preserve"> 22, 71-730 Szczecin.</w:t>
      </w:r>
    </w:p>
    <w:p w:rsidR="00E16F3E" w:rsidRPr="006A754C" w:rsidRDefault="00E16F3E" w:rsidP="00E16F3E">
      <w:pPr>
        <w:spacing w:after="0" w:line="360" w:lineRule="auto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>W przypadku jakichkolwiek wątpliwości, w odniesieniu do wyżej wskazanych list oferentów prosimy o kontakt pod nr tel. 882 358</w:t>
      </w:r>
      <w:r>
        <w:rPr>
          <w:rFonts w:ascii="Arial" w:hAnsi="Arial" w:cs="Arial"/>
          <w:b/>
        </w:rPr>
        <w:t> </w:t>
      </w:r>
      <w:r w:rsidRPr="006A754C">
        <w:rPr>
          <w:rFonts w:ascii="Arial" w:hAnsi="Arial" w:cs="Arial"/>
          <w:b/>
        </w:rPr>
        <w:t>851</w:t>
      </w:r>
      <w:r>
        <w:rPr>
          <w:rFonts w:ascii="Arial" w:hAnsi="Arial" w:cs="Arial"/>
          <w:b/>
        </w:rPr>
        <w:t>,</w:t>
      </w:r>
      <w:r w:rsidRPr="003E4B7B">
        <w:t xml:space="preserve"> </w:t>
      </w:r>
      <w:r w:rsidRPr="003E4B7B">
        <w:rPr>
          <w:rFonts w:ascii="Arial" w:hAnsi="Arial" w:cs="Arial"/>
          <w:b/>
        </w:rPr>
        <w:t>880 340 009</w:t>
      </w:r>
    </w:p>
    <w:p w:rsidR="00E16F3E" w:rsidRDefault="00E16F3E" w:rsidP="00E16F3E">
      <w:pPr>
        <w:spacing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Kolejnym etapem konkursu będzie zamieszczenie listy ofert spełniających i niespełniających warunków formalnych zawierająca wskazanie braków formalnych.</w:t>
      </w:r>
    </w:p>
    <w:p w:rsidR="00036A0D" w:rsidRDefault="00036A0D">
      <w:bookmarkStart w:id="0" w:name="_GoBack"/>
      <w:bookmarkEnd w:id="0"/>
    </w:p>
    <w:sectPr w:rsidR="0003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70EF4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3A"/>
    <w:rsid w:val="00036A0D"/>
    <w:rsid w:val="00981486"/>
    <w:rsid w:val="00B17C3A"/>
    <w:rsid w:val="00C21434"/>
    <w:rsid w:val="00E1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A1001-8E86-4BA9-B9FD-F04EA694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F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2</cp:revision>
  <dcterms:created xsi:type="dcterms:W3CDTF">2019-06-10T08:46:00Z</dcterms:created>
  <dcterms:modified xsi:type="dcterms:W3CDTF">2019-06-10T08:46:00Z</dcterms:modified>
</cp:coreProperties>
</file>