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/>
        <w:keepLines/>
        <w:widowControl w:val="0"/>
        <w:shd w:val="clear" w:color="auto" w:fill="auto"/>
        <w:bidi w:val="0"/>
        <w:spacing w:before="0" w:after="0"/>
        <w:ind w:left="6080" w:right="0" w:firstLine="0"/>
        <w:jc w:val="right"/>
      </w:pPr>
      <w:bookmarkStart w:id="0" w:name="bookmark0"/>
      <w:r>
        <w:rPr>
          <w:rStyle w:val="CharStyle3"/>
          <w:b/>
          <w:bCs/>
        </w:rPr>
        <w:t>Pani Paulina Hennig-Kloska Minister Klimatu i Środowiska</w:t>
      </w:r>
      <w:bookmarkEnd w:id="0"/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640"/>
        <w:ind w:left="7140" w:right="0" w:firstLine="0"/>
        <w:jc w:val="right"/>
      </w:pPr>
      <w:r>
        <w:rPr>
          <w:rStyle w:val="CharStyle8"/>
        </w:rPr>
        <w:t>ul. Wawelska 52/54 00-922 Warszawa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8"/>
          <w:b/>
          <w:bCs/>
        </w:rPr>
        <w:t>Wniosek o pilną interwencję legislacyjną w sprawie zachowania ciągłości zezwoleń na zbieranie i przetwarzanie odpadów</w: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140"/>
        <w:ind w:left="0" w:right="0" w:firstLine="0"/>
        <w:jc w:val="left"/>
      </w:pPr>
      <w:bookmarkStart w:id="2" w:name="bookmark2"/>
      <w:r>
        <w:rPr>
          <w:rStyle w:val="CharStyle3"/>
          <w:b/>
          <w:bCs/>
        </w:rPr>
        <w:t>Szanowna Pani Minister,</w:t>
      </w:r>
      <w:bookmarkEnd w:id="2"/>
    </w:p>
    <w:p>
      <w:pPr>
        <w:pStyle w:val="Style7"/>
        <w:keepNext w:val="0"/>
        <w:keepLines w:val="0"/>
        <w:widowControl w:val="0"/>
        <w:shd w:val="clear" w:color="auto" w:fill="auto"/>
        <w:tabs>
          <w:tab w:pos="4291" w:val="left"/>
        </w:tabs>
        <w:bidi w:val="0"/>
        <w:spacing w:before="0" w:after="0"/>
        <w:ind w:left="0" w:right="0" w:firstLine="0"/>
        <w:jc w:val="left"/>
      </w:pPr>
      <w:r>
        <w:rPr>
          <w:rStyle w:val="CharStyle8"/>
        </w:rPr>
        <w:t>Działając w imieniu</w:t>
        <w:tab/>
        <w:t>zwracam się o przygotowanie rządowego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8"/>
        </w:rPr>
        <w:t>projektu ustawy i podjęcie działań zmierzających do jego skierowania do Sejmu, aby przedsiębiorcy oczekujący na rozpatrzenie terminowo złożonych wniosków o nowe zezwolenia odpadowe nie tracili możliwości legalnego kontynuowania działalności.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8"/>
        </w:rPr>
        <w:t xml:space="preserve">Nasza firma prowadzi zbieranie odpadów o kodach </w:t>
      </w:r>
      <w:r>
        <w:rPr>
          <w:rStyle w:val="CharStyle8"/>
          <w:b/>
          <w:bCs/>
        </w:rPr>
        <w:t xml:space="preserve">10 11 12, 17 02 02, 16 01 20 </w:t>
      </w:r>
      <w:r>
        <w:rPr>
          <w:rStyle w:val="CharStyle8"/>
        </w:rPr>
        <w:t xml:space="preserve">na podstawie zezwolenia Marszałka Województwa </w:t>
      </w:r>
      <w:r>
        <w:rPr>
          <w:rStyle w:val="CharStyle8"/>
          <w:b/>
          <w:bCs/>
        </w:rPr>
        <w:t xml:space="preserve">Podlaskiego z dnia 13 października 2016 r. </w:t>
      </w:r>
      <w:r>
        <w:rPr>
          <w:rStyle w:val="CharStyle8"/>
        </w:rPr>
        <w:t xml:space="preserve">znak OŚR.6233.10.2016, z uwzględnieniem posiadanych decyzji o środowiskowych uwarunkowaniach. Wniosek o wydanie nowego zezwolenia złożyliśmy </w:t>
      </w:r>
      <w:r>
        <w:rPr>
          <w:rStyle w:val="CharStyle8"/>
          <w:b/>
          <w:bCs/>
        </w:rPr>
        <w:t xml:space="preserve">6 maja 2026r, </w:t>
      </w:r>
      <w:r>
        <w:rPr>
          <w:rStyle w:val="CharStyle8"/>
        </w:rPr>
        <w:t xml:space="preserve">czyli </w:t>
      </w:r>
      <w:r>
        <w:rPr>
          <w:rStyle w:val="CharStyle8"/>
          <w:b/>
          <w:bCs/>
        </w:rPr>
        <w:t>pięć miesięcy przed końcem okresu obowiązywania dotychczasowego zezwolenia</w:t>
      </w:r>
      <w:r>
        <w:rPr>
          <w:rStyle w:val="CharStyle8"/>
        </w:rPr>
        <w:t xml:space="preserve">, przypadającym na </w:t>
      </w:r>
      <w:r>
        <w:rPr>
          <w:rStyle w:val="CharStyle8"/>
          <w:b/>
          <w:bCs/>
        </w:rPr>
        <w:t>15.10.2026 r.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8"/>
        </w:rPr>
        <w:t xml:space="preserve">Pomimo tego wyprzedzenia obciążenie urzędów gmin, wojewódzkich inspektoratów ochrony środowiska i urzędów marszałkowskich oraz wydłużony czas pozyskiwania wymaganych dokumentów stwarzają realne ryzyko niezakończenia postępowania przed utratą możliwości korzystania z dotychczasowego zezwolenia. Konsekwencją byłoby ograniczenie działalności i </w:t>
      </w:r>
      <w:r>
        <w:rPr>
          <w:rStyle w:val="CharStyle8"/>
          <w:b/>
          <w:bCs/>
        </w:rPr>
        <w:t>ryzyko strat liczonych w milionach złotych</w:t>
      </w:r>
      <w:r>
        <w:rPr>
          <w:rStyle w:val="CharStyle8"/>
        </w:rPr>
        <w:t>, a także utraty kontraktów i zagrożenia miejsc pracy. Późniejsze wydanie zezwolenia nie usunie kosztów przestoju ani jego skutków dla relacji z kontrahentami.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  <w:sectPr>
          <w:headerReference w:type="default" r:id="rId5"/>
          <w:footnotePr>
            <w:pos w:val="pageBottom"/>
            <w:numFmt w:val="decimal"/>
            <w:numRestart w:val="continuous"/>
          </w:footnotePr>
          <w:pgSz w:w="11900" w:h="16840"/>
          <w:pgMar w:top="4446" w:right="1393" w:bottom="1408" w:left="1388" w:header="0" w:footer="980" w:gutter="0"/>
          <w:pgNumType w:start="1"/>
          <w:cols w:space="720"/>
          <w:noEndnote/>
          <w:rtlGutter w:val="0"/>
          <w:docGrid w:linePitch="360"/>
        </w:sectPr>
      </w:pPr>
      <w:r>
        <w:rPr>
          <w:rStyle w:val="CharStyle8"/>
        </w:rPr>
        <w:t xml:space="preserve">Problem ten był już przedmiotem interwencji ustawodawcy. </w:t>
      </w:r>
      <w:r>
        <w:rPr>
          <w:rStyle w:val="CharStyle8"/>
          <w:b/>
          <w:bCs/>
        </w:rPr>
        <w:t xml:space="preserve">Art. 45 pkt 2 ustawy z dnia 7 października 2022 r. </w:t>
      </w:r>
      <w:r>
        <w:rPr>
          <w:rStyle w:val="CharStyle8"/>
        </w:rPr>
        <w:t xml:space="preserve">o szczególnych rozwiązaniach służących ochronie odbiorców energii elektrycznej w 2023 roku w związku z sytuacją na rynku energii elektrycznej </w:t>
      </w:r>
      <w:r>
        <w:rPr>
          <w:rStyle w:val="CharStyle8"/>
          <w:b/>
          <w:bCs/>
        </w:rPr>
        <w:t xml:space="preserve">(Dz. U. z 2022 r. poz. 2127) </w:t>
      </w:r>
      <w:r>
        <w:rPr>
          <w:rStyle w:val="CharStyle8"/>
        </w:rPr>
        <w:t xml:space="preserve">wprowadził do ustawy o odpadach </w:t>
      </w:r>
      <w:r>
        <w:rPr>
          <w:rStyle w:val="CharStyle8"/>
          <w:b/>
          <w:bCs/>
        </w:rPr>
        <w:t>art. 226a</w:t>
      </w:r>
      <w:r>
        <w:rPr>
          <w:rStyle w:val="CharStyle8"/>
        </w:rPr>
        <w:t>. Przepis ten, po spełnieniu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8"/>
        </w:rPr>
        <w:t>ustawowych warunków, w tym złożeniu wniosku co najmniej trzy miesiące przed upływem czasu, na jaki wydano zezwolenie, chronił przed jego wygaśnięciem z tej przyczyny do 31 grudnia 2025 r.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8"/>
        </w:rPr>
        <w:t xml:space="preserve">Następnie </w:t>
      </w:r>
      <w:r>
        <w:rPr>
          <w:rStyle w:val="CharStyle8"/>
          <w:b/>
          <w:bCs/>
        </w:rPr>
        <w:t xml:space="preserve">art. 2 ustawy z dnia 7 listopada 2025 r. </w:t>
      </w:r>
      <w:r>
        <w:rPr>
          <w:rStyle w:val="CharStyle8"/>
        </w:rPr>
        <w:t xml:space="preserve">o zmianie ustawy – Prawo ochrony środowiska oraz niektórych innych ustaw </w:t>
      </w:r>
      <w:r>
        <w:rPr>
          <w:rStyle w:val="CharStyle8"/>
          <w:b/>
          <w:bCs/>
        </w:rPr>
        <w:t xml:space="preserve">(Dz. U. z 2025 r. poz. 1812) </w:t>
      </w:r>
      <w:r>
        <w:rPr>
          <w:rStyle w:val="CharStyle8"/>
        </w:rPr>
        <w:t xml:space="preserve">wydłużył ten okres do </w:t>
      </w:r>
      <w:r>
        <w:rPr>
          <w:rStyle w:val="CharStyle8"/>
          <w:b/>
          <w:bCs/>
        </w:rPr>
        <w:t xml:space="preserve">31 grudnia 2026 r. </w:t>
      </w:r>
      <w:r>
        <w:rPr>
          <w:rStyle w:val="CharStyle8"/>
        </w:rPr>
        <w:t xml:space="preserve">Jednocześnie art. 4 pkt 2 tej nowelizacji przesunął datę utraty mocy przepisów ochronnych, określoną w art. 60 ustawy z 2022 r., na </w:t>
      </w:r>
      <w:r>
        <w:rPr>
          <w:rStyle w:val="CharStyle8"/>
          <w:b/>
          <w:bCs/>
        </w:rPr>
        <w:t>1 stycznia 2027 r.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8"/>
        </w:rPr>
        <w:t xml:space="preserve">Nie zastępują tej ochrony uproszczenia przewidziane od 1 stycznia 2027 r. ustawą z dnia </w:t>
      </w:r>
      <w:r>
        <w:rPr>
          <w:rStyle w:val="CharStyle8"/>
          <w:b/>
          <w:bCs/>
        </w:rPr>
        <w:t>11 czerwca 2026 r. (Dz. U. z 2026 r. poz. 875)</w:t>
      </w:r>
      <w:r>
        <w:rPr>
          <w:rStyle w:val="CharStyle8"/>
        </w:rPr>
        <w:t>. Milczące przedłużenie zezwolenia, uregulowane w dodawanym art. 44 ust. 4–9 ustawy o odpadach, ma ograniczony zakres i nie pozwala przekroczyć dziesięciu lat od wydania zezwolenia. Ponadto art. 18 pkt 8 nowelizacji pozostawia na dotychczasowych zasadach postępowania o przedłużenie zezwoleń wszczęte i niezakończone przed jej wejściem w życie.</w: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140"/>
        <w:ind w:left="0" w:right="0" w:firstLine="0"/>
        <w:jc w:val="left"/>
      </w:pPr>
      <w:bookmarkStart w:id="4" w:name="bookmark4"/>
      <w:r>
        <w:rPr>
          <w:rStyle w:val="CharStyle3"/>
          <w:b/>
          <w:bCs/>
        </w:rPr>
        <w:t>W związku z powyższym wnoszę o:</w:t>
      </w:r>
      <w:bookmarkEnd w:id="4"/>
    </w:p>
    <w:p>
      <w:pPr>
        <w:pStyle w:val="Style7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40" w:val="left"/>
        </w:tabs>
        <w:bidi w:val="0"/>
        <w:spacing w:before="0"/>
        <w:ind w:left="740" w:right="0" w:hanging="360"/>
        <w:jc w:val="left"/>
      </w:pPr>
      <w:r>
        <w:rPr>
          <w:rStyle w:val="CharStyle8"/>
          <w:b/>
          <w:bCs/>
        </w:rPr>
        <w:t>Przedłużenie mechanizmu ochronnego z art. 226a co najmniej do 31 grudnia 2028 r.</w:t>
      </w:r>
      <w:r>
        <w:rPr>
          <w:rStyle w:val="CharStyle8"/>
        </w:rPr>
        <w:t>, wraz z odpowiednią zmianą art. 60 ustawy z dnia 7 października 2022 r., tak aby przepisy nie utraciły mocy przed zakończeniem przedłużonego okresu ochrony.</w:t>
      </w:r>
    </w:p>
    <w:p>
      <w:pPr>
        <w:pStyle w:val="Style7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40" w:val="left"/>
        </w:tabs>
        <w:bidi w:val="0"/>
        <w:spacing w:before="0"/>
        <w:ind w:left="740" w:right="0" w:hanging="360"/>
        <w:jc w:val="left"/>
      </w:pPr>
      <w:r>
        <w:rPr>
          <w:rStyle w:val="CharStyle8"/>
          <w:b/>
          <w:bCs/>
        </w:rPr>
        <w:t>Jednoznaczne objęcie ochroną postępowań już wszczętych i niezakończonych</w:t>
      </w:r>
      <w:r>
        <w:rPr>
          <w:rStyle w:val="CharStyle8"/>
        </w:rPr>
        <w:t>, bez konieczności ponownego składania wniosków, oraz wejście nowych przepisów w życie przed końcem 2026 r.</w:t>
      </w:r>
    </w:p>
    <w:p>
      <w:pPr>
        <w:pStyle w:val="Style7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40" w:val="left"/>
        </w:tabs>
        <w:bidi w:val="0"/>
        <w:spacing w:before="0"/>
        <w:ind w:left="740" w:right="0" w:hanging="360"/>
        <w:jc w:val="left"/>
      </w:pPr>
      <w:r>
        <w:rPr>
          <w:rStyle w:val="CharStyle8"/>
        </w:rPr>
        <w:t xml:space="preserve">Docelowo — </w:t>
      </w:r>
      <w:r>
        <w:rPr>
          <w:rStyle w:val="CharStyle8"/>
          <w:b/>
          <w:bCs/>
        </w:rPr>
        <w:t xml:space="preserve">wprowadzenie stałej zasady zachowania ciągłości zezwoleń </w:t>
      </w:r>
      <w:r>
        <w:rPr>
          <w:rStyle w:val="CharStyle8"/>
        </w:rPr>
        <w:t>po terminowym złożeniu wniosku, do ostatecznego rozstrzygnięcia postępowania albo pozostawienia wniosku bez rozpatrzenia, przy obowiązku terminowego wykonywania wezwań organu.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8"/>
        </w:rPr>
        <w:t>Postulowana ochrona powinna dotyczyć wyłącznie działalności w granicach dotychczasowego zezwolenia, z zachowaniem obowiązków środowiskowych, wymaganego zabezpieczenia roszczeń i uprawnień kontrolnych organów. Nie wnosimy o obniżenie standardów ochrony środowiska ani o ograniczenie możliwości reagowania na naruszenia prawa.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8"/>
          <w:b/>
          <w:bCs/>
        </w:rPr>
        <w:t>Przedsiębiorca nie powinien ponosić nieodwracalnych strat wyłącznie z powodu niezakończenia przez administrację postępowania, mimo złożenia wniosku z odpowiednim wyprzedzeniem.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271" w:lineRule="auto"/>
        <w:ind w:left="0" w:right="0" w:firstLine="0"/>
        <w:jc w:val="left"/>
      </w:pPr>
      <w:r>
        <w:rPr>
          <w:rStyle w:val="CharStyle8"/>
        </w:rPr>
        <w:t>Proszę o zajęcie stanowiska oraz pisemną informację o planowanych działaniach legislacyjnych i ich harmonogramie.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8"/>
        </w:rPr>
        <w:t>Z poważaniem,</w:t>
      </w:r>
    </w:p>
    <w:sectPr>
      <w:headerReference w:type="default" r:id="rId6"/>
      <w:footnotePr>
        <w:pos w:val="pageBottom"/>
        <w:numFmt w:val="decimal"/>
        <w:numRestart w:val="continuous"/>
      </w:footnotePr>
      <w:pgSz w:w="11900" w:h="16840"/>
      <w:pgMar w:top="1412" w:right="1393" w:bottom="1412" w:left="1388" w:header="984" w:footer="984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4718685</wp:posOffset>
              </wp:positionH>
              <wp:positionV relativeFrom="page">
                <wp:posOffset>939165</wp:posOffset>
              </wp:positionV>
              <wp:extent cx="1938655" cy="130810"/>
              <wp:wrapNone/>
              <wp:docPr id="1" name="Shape 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38655" cy="13081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CharStyle5"/>
                              <w:rFonts w:ascii="Calibri" w:eastAsia="Calibri" w:hAnsi="Calibri" w:cs="Calibri"/>
                              <w:sz w:val="24"/>
                              <w:szCs w:val="24"/>
                            </w:rPr>
                            <w:t>Dąbrowa Górnicza, 09.09.2026r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71.55000000000001pt;margin-top:73.950000000000003pt;width:152.65000000000001pt;height:10.300000000000001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rStyle w:val="CharStyle5"/>
                        <w:rFonts w:ascii="Calibri" w:eastAsia="Calibri" w:hAnsi="Calibri" w:cs="Calibri"/>
                        <w:sz w:val="24"/>
                        <w:szCs w:val="24"/>
                      </w:rPr>
                      <w:t>Dąbrowa Górnicza, 09.09.2026r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pl-PL" w:eastAsia="pl-PL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/>
    </w:rPr>
  </w:style>
  <w:style w:type="character" w:customStyle="1" w:styleId="CharStyle3">
    <w:name w:val="Heading #1_"/>
    <w:basedOn w:val="DefaultParagraphFont"/>
    <w:link w:val="Style2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CharStyle5">
    <w:name w:val="Header or footer (2)_"/>
    <w:basedOn w:val="DefaultParagraphFont"/>
    <w:link w:val="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8">
    <w:name w:val="Body text_"/>
    <w:basedOn w:val="DefaultParagraphFont"/>
    <w:link w:val="Style7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paragraph" w:customStyle="1" w:styleId="Style2">
    <w:name w:val="Heading #1"/>
    <w:basedOn w:val="Normal"/>
    <w:link w:val="CharStyle3"/>
    <w:pPr>
      <w:widowControl w:val="0"/>
      <w:shd w:val="clear" w:color="auto" w:fill="auto"/>
      <w:spacing w:after="70" w:line="276" w:lineRule="auto"/>
      <w:ind w:left="3040"/>
      <w:outlineLvl w:val="0"/>
    </w:pPr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paragraph" w:customStyle="1" w:styleId="Style4">
    <w:name w:val="Header or footer (2)"/>
    <w:basedOn w:val="Normal"/>
    <w:link w:val="CharStyle5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styleId="Style7">
    <w:name w:val="Body text"/>
    <w:basedOn w:val="Normal"/>
    <w:link w:val="CharStyle8"/>
    <w:qFormat/>
    <w:pPr>
      <w:widowControl w:val="0"/>
      <w:shd w:val="clear" w:color="auto" w:fill="auto"/>
      <w:spacing w:after="140" w:line="276" w:lineRule="auto"/>
    </w:pPr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/Relationships>
</file>

<file path=docProps/core.xml><?xml version="1.0" encoding="utf-8"?>
<cp:coreProperties xmlns:cp="http://schemas.openxmlformats.org/package/2006/metadata/core-properties" xmlns:dc="http://purl.org/dc/elements/1.1/">
  <dc:title/>
  <dc:subject/>
  <dc:creator>Mateusz Pękala</dc:creator>
  <cp:keywords/>
</cp:coreProperties>
</file>