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8C25" w14:textId="77777777" w:rsidR="00575554" w:rsidRPr="00575554" w:rsidRDefault="00B3226C" w:rsidP="007A3B42">
      <w:pPr>
        <w:spacing w:before="200" w:after="0" w:line="21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Zestawienie uwag</w:t>
      </w:r>
      <w:r w:rsidR="00575554" w:rsidRPr="005755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E231C3">
        <w:rPr>
          <w:rFonts w:ascii="Arial" w:eastAsia="Times New Roman" w:hAnsi="Arial" w:cs="Arial"/>
          <w:b/>
          <w:sz w:val="20"/>
          <w:szCs w:val="20"/>
          <w:lang w:eastAsia="pl-PL"/>
        </w:rPr>
        <w:t>Pr</w:t>
      </w:r>
      <w:r w:rsidR="004158CA">
        <w:rPr>
          <w:rFonts w:ascii="Arial" w:eastAsia="Times New Roman" w:hAnsi="Arial" w:cs="Arial"/>
          <w:b/>
          <w:sz w:val="20"/>
          <w:szCs w:val="20"/>
          <w:lang w:eastAsia="pl-PL"/>
        </w:rPr>
        <w:t>ogramu współpracy p</w:t>
      </w:r>
      <w:r w:rsidR="00204417">
        <w:rPr>
          <w:rFonts w:ascii="Arial" w:eastAsia="Times New Roman" w:hAnsi="Arial" w:cs="Arial"/>
          <w:b/>
          <w:sz w:val="20"/>
          <w:szCs w:val="20"/>
          <w:lang w:eastAsia="pl-PL"/>
        </w:rPr>
        <w:t>artnerskiej Ministerstwa Funduszy i Polityki Regionalnej na lata 202</w:t>
      </w:r>
      <w:r w:rsidR="008E5865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204417">
        <w:rPr>
          <w:rFonts w:ascii="Arial" w:eastAsia="Times New Roman" w:hAnsi="Arial" w:cs="Arial"/>
          <w:b/>
          <w:sz w:val="20"/>
          <w:szCs w:val="20"/>
          <w:lang w:eastAsia="pl-PL"/>
        </w:rPr>
        <w:t>-202</w:t>
      </w:r>
      <w:r w:rsidR="008E5865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14:paraId="5B256971" w14:textId="77777777" w:rsidR="00575554" w:rsidRPr="00575554" w:rsidRDefault="00575554" w:rsidP="005755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16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871"/>
        <w:gridCol w:w="1511"/>
        <w:gridCol w:w="3036"/>
        <w:gridCol w:w="2416"/>
        <w:gridCol w:w="2953"/>
        <w:gridCol w:w="1945"/>
      </w:tblGrid>
      <w:tr w:rsidR="007E1CE9" w:rsidRPr="00575554" w14:paraId="4A0749A7" w14:textId="77777777" w:rsidTr="007E1CE9">
        <w:trPr>
          <w:trHeight w:val="502"/>
        </w:trPr>
        <w:tc>
          <w:tcPr>
            <w:tcW w:w="220" w:type="pct"/>
            <w:shd w:val="clear" w:color="auto" w:fill="E6E6E6"/>
            <w:vAlign w:val="center"/>
          </w:tcPr>
          <w:p w14:paraId="454AF396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54" w:type="pct"/>
            <w:shd w:val="clear" w:color="auto" w:fill="E6E6E6"/>
            <w:vAlign w:val="center"/>
          </w:tcPr>
          <w:p w14:paraId="676F8BAB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Podmiot zgłaszający uwagę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3D4E1895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Tytuł rozdziału / podrozdziału, strona</w:t>
            </w:r>
          </w:p>
        </w:tc>
        <w:tc>
          <w:tcPr>
            <w:tcW w:w="1057" w:type="pct"/>
            <w:shd w:val="clear" w:color="auto" w:fill="E6E6E6"/>
            <w:vAlign w:val="center"/>
          </w:tcPr>
          <w:p w14:paraId="7811D076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842" w:type="pct"/>
            <w:shd w:val="clear" w:color="auto" w:fill="E6E6E6"/>
            <w:vAlign w:val="center"/>
          </w:tcPr>
          <w:p w14:paraId="5E7731E1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Propozycja konkretnego zapisu zmiany</w:t>
            </w:r>
          </w:p>
        </w:tc>
        <w:tc>
          <w:tcPr>
            <w:tcW w:w="1028" w:type="pct"/>
            <w:shd w:val="clear" w:color="auto" w:fill="E6E6E6"/>
            <w:vAlign w:val="center"/>
          </w:tcPr>
          <w:p w14:paraId="1DC17E0D" w14:textId="77777777" w:rsidR="00B3226C" w:rsidRPr="00575554" w:rsidRDefault="00B3226C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755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9" w:type="pct"/>
            <w:shd w:val="clear" w:color="auto" w:fill="E6E6E6"/>
          </w:tcPr>
          <w:p w14:paraId="230D6F1F" w14:textId="77777777" w:rsidR="00FA2AFF" w:rsidRDefault="00FA2AFF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556CCD28" w14:textId="77777777" w:rsidR="00B3226C" w:rsidRPr="00575554" w:rsidRDefault="004E554A" w:rsidP="00FA2A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Uzasadnienie</w:t>
            </w:r>
            <w:r w:rsid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FA2A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Resortu</w:t>
            </w:r>
          </w:p>
        </w:tc>
      </w:tr>
      <w:tr w:rsidR="007E1CE9" w:rsidRPr="00575554" w14:paraId="6BE73318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14A16882" w14:textId="77777777" w:rsidR="00B3226C" w:rsidRPr="00575554" w:rsidRDefault="00B3226C" w:rsidP="00B322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0F32F8BB" w14:textId="77777777" w:rsidR="00B3226C" w:rsidRPr="00575554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Departament Strategii i Rozwoju, Urząd Marszałkowski Województwa Lubelskiego w Lublinie</w:t>
            </w:r>
          </w:p>
        </w:tc>
        <w:tc>
          <w:tcPr>
            <w:tcW w:w="520" w:type="pct"/>
            <w:shd w:val="clear" w:color="auto" w:fill="auto"/>
          </w:tcPr>
          <w:p w14:paraId="317CC592" w14:textId="77777777" w:rsidR="00B3226C" w:rsidRPr="00EA5A85" w:rsidRDefault="00B3226C" w:rsidP="00B3226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5.2.4 Spotkania przedstawicieli Ministerstwa z przedstawicielami Organizacji pozarządowych, </w:t>
            </w:r>
          </w:p>
          <w:p w14:paraId="1AB44F41" w14:textId="77777777" w:rsidR="00B3226C" w:rsidRPr="00575554" w:rsidRDefault="00B3226C" w:rsidP="00B3226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str. 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57" w:type="pct"/>
            <w:shd w:val="clear" w:color="auto" w:fill="auto"/>
          </w:tcPr>
          <w:p w14:paraId="12512298" w14:textId="77777777" w:rsidR="00B3226C" w:rsidRPr="00575554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Zamieszczony link nie przekierowuje do sugerowanego miejsca publikacji informacji o spotkaniach (</w:t>
            </w:r>
            <w:hyperlink r:id="rId7" w:history="1">
              <w:r w:rsidRPr="009A484D">
                <w:rPr>
                  <w:rStyle w:val="Hipercze"/>
                  <w:rFonts w:ascii="Arial Narrow" w:eastAsia="Times New Roman" w:hAnsi="Arial Narrow" w:cs="Arial"/>
                  <w:sz w:val="20"/>
                  <w:szCs w:val="20"/>
                  <w:lang w:eastAsia="pl-PL"/>
                </w:rPr>
                <w:t>https://www.gov.pl/web/fundusze-regiony/program-wspolpracy-mr-z-organizacjamipozarzadowymi</w:t>
              </w:r>
            </w:hyperlink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), lecz na ogólną stronę Serwisu Rzeczypospolitej Polskiej  </w:t>
            </w:r>
            <w:hyperlink r:id="rId8" w:history="1">
              <w:r w:rsidRPr="009A484D">
                <w:rPr>
                  <w:rStyle w:val="Hipercze"/>
                  <w:rFonts w:ascii="Arial Narrow" w:eastAsia="Times New Roman" w:hAnsi="Arial Narrow" w:cs="Arial"/>
                  <w:sz w:val="20"/>
                  <w:szCs w:val="20"/>
                  <w:lang w:eastAsia="pl-PL"/>
                </w:rPr>
                <w:t>https://www.gov.pl/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14:paraId="4DA8DA9D" w14:textId="77777777" w:rsidR="00B3226C" w:rsidRPr="00575554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Należy zweryfikować i  zamieścić   właściwy link przekierowujący.</w:t>
            </w:r>
          </w:p>
        </w:tc>
        <w:tc>
          <w:tcPr>
            <w:tcW w:w="1028" w:type="pct"/>
            <w:shd w:val="clear" w:color="auto" w:fill="auto"/>
          </w:tcPr>
          <w:p w14:paraId="61D7981E" w14:textId="77777777" w:rsidR="00B3226C" w:rsidRPr="00575554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Przekierowanie na ogólną stronę Serwisu Rzeczypospolitej Polskiej  https://www.gov.pl/ zmniejsza dostępność informacji o spotkaniach przedstawicieli Ministerstwa z przedstawicielami organizacji pozarządowych.</w:t>
            </w:r>
          </w:p>
        </w:tc>
        <w:tc>
          <w:tcPr>
            <w:tcW w:w="679" w:type="pct"/>
          </w:tcPr>
          <w:p w14:paraId="26F3A3FF" w14:textId="77777777" w:rsidR="00B3226C" w:rsidRPr="00B3226C" w:rsidRDefault="00294525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Link</w:t>
            </w:r>
            <w:r w:rsid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został zweryfikowan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</w:t>
            </w:r>
            <w:r w:rsid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Ustalono</w:t>
            </w:r>
            <w:r w:rsidR="003875A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że strona działa</w:t>
            </w:r>
            <w:r w:rsidR="00BB279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prawidło</w:t>
            </w:r>
            <w:r w:rsidR="003875A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wo i umożliwia dostęp do strony z informacjami o </w:t>
            </w:r>
            <w:r w:rsidR="00385F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Program</w:t>
            </w:r>
            <w:r w:rsidR="003875A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</w:t>
            </w:r>
            <w:r w:rsidR="00385F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współpracy partnerskiej</w:t>
            </w:r>
            <w:r w:rsidR="003875A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</w:tr>
      <w:tr w:rsidR="00B3226C" w:rsidRPr="00575554" w14:paraId="7C20F4E5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1FA0082C" w14:textId="77777777" w:rsidR="00B3226C" w:rsidRPr="00575554" w:rsidRDefault="00B3226C" w:rsidP="00B3226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59663B8D" w14:textId="77777777" w:rsidR="00B3226C" w:rsidRPr="00B3226C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Departament Strategii i Rozwoju, Urząd Marszałkowski Województwa Lubelskiego w Lublinie</w:t>
            </w:r>
          </w:p>
        </w:tc>
        <w:tc>
          <w:tcPr>
            <w:tcW w:w="520" w:type="pct"/>
            <w:shd w:val="clear" w:color="auto" w:fill="auto"/>
          </w:tcPr>
          <w:p w14:paraId="42077992" w14:textId="77777777" w:rsidR="00B3226C" w:rsidRPr="00EA5A85" w:rsidRDefault="00B3226C" w:rsidP="00B3226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5.3 Zgłoszenie chęci współpracy, </w:t>
            </w:r>
          </w:p>
          <w:p w14:paraId="33CFBEB7" w14:textId="77777777" w:rsidR="00B3226C" w:rsidRPr="00EA5A85" w:rsidRDefault="00B3226C" w:rsidP="00B3226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str.13</w:t>
            </w:r>
          </w:p>
          <w:p w14:paraId="43D442CE" w14:textId="77777777" w:rsidR="00B3226C" w:rsidRDefault="00B3226C" w:rsidP="00B3226C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113A7E3" w14:textId="77777777" w:rsidR="00B3226C" w:rsidRPr="00B3226C" w:rsidRDefault="00B3226C" w:rsidP="00B322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7" w:type="pct"/>
            <w:shd w:val="clear" w:color="auto" w:fill="auto"/>
          </w:tcPr>
          <w:p w14:paraId="2A1C7B25" w14:textId="77777777" w:rsidR="00B3226C" w:rsidRPr="00B3226C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Zamieszczony link nie przekierowuje do sugerowanego miejsca publikacji formularza i listy organizacji pozarządowych zgłaszających się do współpracy (https://www.gov.pl/web/fundusze-regiony/program-wspolpracy-mr-z-organizacjamipozarzadowymi), lecz na ogólną stronę Serwisu Rzeczypospolitej Polskiej  https://www.gov.pl/</w:t>
            </w:r>
          </w:p>
        </w:tc>
        <w:tc>
          <w:tcPr>
            <w:tcW w:w="842" w:type="pct"/>
            <w:shd w:val="clear" w:color="auto" w:fill="auto"/>
          </w:tcPr>
          <w:p w14:paraId="21ACFF74" w14:textId="77777777" w:rsidR="00B3226C" w:rsidRPr="00B3226C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Należy zweryfikować i  zamieścić   właściwy link przekierowujący.</w:t>
            </w:r>
          </w:p>
        </w:tc>
        <w:tc>
          <w:tcPr>
            <w:tcW w:w="1028" w:type="pct"/>
            <w:shd w:val="clear" w:color="auto" w:fill="auto"/>
          </w:tcPr>
          <w:p w14:paraId="04D0C3C9" w14:textId="77777777" w:rsidR="00B3226C" w:rsidRPr="00B3226C" w:rsidRDefault="00B3226C" w:rsidP="00B3226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2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Przekierowanie na ogólną stronę Serwisu Rzeczypospolitej Polskiej  https://www.gov.pl/ zmniejsza dostępność informacji dot. zamiaru współpracy dla organizacji pozarządowych.</w:t>
            </w:r>
          </w:p>
          <w:p w14:paraId="57F3A3CD" w14:textId="77777777" w:rsidR="00B3226C" w:rsidRPr="00B3226C" w:rsidRDefault="00B3226C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</w:tcPr>
          <w:p w14:paraId="38DFC8A3" w14:textId="77777777" w:rsidR="00B3226C" w:rsidRPr="00B3226C" w:rsidRDefault="00294525" w:rsidP="0057555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Link został zweryfikowany. Ustalono, że strona działa prawidłowo i umożliwia dostęp do strony z informacjami o Programie współpracy partnerskiej.</w:t>
            </w:r>
          </w:p>
        </w:tc>
      </w:tr>
      <w:tr w:rsidR="00043F88" w:rsidRPr="00575554" w14:paraId="6C219032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175FF3AC" w14:textId="77777777" w:rsidR="00043F88" w:rsidRPr="00575554" w:rsidRDefault="00043F88" w:rsidP="00043F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5713D856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Departament Strategii i Rozwoju, Urząd Marszałkowski Województwa Lubelskiego w Lublinie</w:t>
            </w:r>
          </w:p>
        </w:tc>
        <w:tc>
          <w:tcPr>
            <w:tcW w:w="520" w:type="pct"/>
            <w:shd w:val="clear" w:color="auto" w:fill="auto"/>
          </w:tcPr>
          <w:p w14:paraId="2F5F46B1" w14:textId="77777777" w:rsidR="00043F88" w:rsidRPr="00EA5A85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6.4 Departament Europejskiego Funduszu Społecznego (DZF)/ 2. Zakres współpracy DZF z Organizacjami pozarządowymi, </w:t>
            </w:r>
          </w:p>
          <w:p w14:paraId="7527B9E8" w14:textId="77777777" w:rsidR="00043F88" w:rsidRDefault="00043F88" w:rsidP="00043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str. 15</w:t>
            </w:r>
          </w:p>
        </w:tc>
        <w:tc>
          <w:tcPr>
            <w:tcW w:w="1057" w:type="pct"/>
            <w:shd w:val="clear" w:color="auto" w:fill="auto"/>
          </w:tcPr>
          <w:p w14:paraId="1013EFAC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Wątpliwości budzi zapis z pkt. 2 w zakresie zatwierdzania kryteriów wyboru projektów w FERS, proponujemy jego doprecyzowanie.</w:t>
            </w:r>
          </w:p>
        </w:tc>
        <w:tc>
          <w:tcPr>
            <w:tcW w:w="842" w:type="pct"/>
            <w:shd w:val="clear" w:color="auto" w:fill="auto"/>
          </w:tcPr>
          <w:p w14:paraId="67DE4CA9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Proponujemy uzupełnienie dotychczasowego zapisu:</w:t>
            </w:r>
          </w:p>
          <w:p w14:paraId="562FCB8E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</w:t>
            </w: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ab/>
              <w:t>zapewnienie organizacjom pozarządowym możliwości wyrażenia opinii w procesie zatwierdzania kryteriów wyboru projektów w FERS;</w:t>
            </w:r>
          </w:p>
        </w:tc>
        <w:tc>
          <w:tcPr>
            <w:tcW w:w="1028" w:type="pct"/>
            <w:shd w:val="clear" w:color="auto" w:fill="auto"/>
          </w:tcPr>
          <w:p w14:paraId="02A0F077" w14:textId="77777777" w:rsidR="00043F88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Kryteria wyboru projektów zatwierdza Komitet Monitorujący (w którym organizacje pozarządowe mają swoją reprezentację), a nie organizacje pozarządowe co sugeruje dotychczasowy zapis - należy zatem doprecyzować/uzupełnić dotychczasowe brzmienie pkt. 2.</w:t>
            </w:r>
          </w:p>
          <w:p w14:paraId="7335AB97" w14:textId="77777777" w:rsidR="00043F88" w:rsidRDefault="00043F88" w:rsidP="00043F8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6D04C00F" w14:textId="77777777" w:rsidR="00043F88" w:rsidRPr="0000352F" w:rsidRDefault="00043F88" w:rsidP="00043F88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</w:tcPr>
          <w:p w14:paraId="6A48E81F" w14:textId="77777777" w:rsidR="00043F88" w:rsidRPr="0073027E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Uwaga</w:t>
            </w:r>
            <w:r w:rsid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E20F3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została</w:t>
            </w:r>
            <w:r w:rsidRP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częściowo uwzględniona.</w:t>
            </w:r>
            <w:r w:rsidRPr="0073027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Zapis zosta</w:t>
            </w:r>
            <w:r w:rsid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ł </w:t>
            </w:r>
            <w:r w:rsidRPr="0073027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zaktualizowany i otrzyma</w:t>
            </w:r>
            <w:r w:rsidR="00007DB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ł</w:t>
            </w:r>
            <w:r w:rsidRPr="0073027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następujące brzmienie:</w:t>
            </w:r>
          </w:p>
          <w:p w14:paraId="09FDE407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027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 zapewnienie organizacjom pozarządowym możliwości wyrażenia opinii i udziału w zatwierdzaniu kryteriów wyboru projektów w </w:t>
            </w:r>
            <w:r w:rsidRPr="0073027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FERS przez Komitet Monitorujący, w którym mają swoją reprezentację.</w:t>
            </w:r>
          </w:p>
        </w:tc>
      </w:tr>
      <w:tr w:rsidR="00043F88" w:rsidRPr="00575554" w14:paraId="2CDA9214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5EA5BC15" w14:textId="77777777" w:rsidR="00043F88" w:rsidRPr="00575554" w:rsidRDefault="00043F88" w:rsidP="00043F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172D5D74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Urząd Marszałkowski Województwa Mazowieckiego w Warszawie</w:t>
            </w:r>
          </w:p>
        </w:tc>
        <w:tc>
          <w:tcPr>
            <w:tcW w:w="520" w:type="pct"/>
            <w:shd w:val="clear" w:color="auto" w:fill="auto"/>
          </w:tcPr>
          <w:p w14:paraId="4266ED3A" w14:textId="77777777" w:rsidR="00043F88" w:rsidRPr="00EA5A85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Rozdział 9 „Środki finansowe przeznaczone na realizację Programu”</w:t>
            </w:r>
          </w:p>
          <w:p w14:paraId="01A7ABDB" w14:textId="77777777" w:rsidR="00043F88" w:rsidRDefault="00043F88" w:rsidP="00043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s. 23</w:t>
            </w:r>
          </w:p>
        </w:tc>
        <w:tc>
          <w:tcPr>
            <w:tcW w:w="1057" w:type="pct"/>
            <w:shd w:val="clear" w:color="auto" w:fill="auto"/>
          </w:tcPr>
          <w:p w14:paraId="1878A59C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rozdziale dotyczącym środków finansowych brak jest określenia wysokości środków planowanych na realizację Programu. Zapis ogranicza się jedynie do ogólnego stwierdzenia, że działania mieszczą się w ramach planu rzeczowo-finansowego Ministerstwa. Wydaje się, że takie ujęcie nie spełnia wymogu art. 5a ust. 4 pkt 8 ustawy o działalności pożytku publicznego i o wolontariacie, który nakłada obowiązek wskazania wysokości środków planowanych.</w:t>
            </w:r>
          </w:p>
        </w:tc>
        <w:tc>
          <w:tcPr>
            <w:tcW w:w="842" w:type="pct"/>
            <w:shd w:val="clear" w:color="auto" w:fill="auto"/>
          </w:tcPr>
          <w:p w14:paraId="67761C3A" w14:textId="77777777" w:rsidR="00043F88" w:rsidRPr="00EA5A85" w:rsidRDefault="00043F88" w:rsidP="00043F88">
            <w:pPr>
              <w:spacing w:after="0" w:line="240" w:lineRule="auto"/>
              <w:ind w:left="38" w:hanging="38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Zamiast obecnego zapisu proponuje się wprowadzenie następującego brzmienia: </w:t>
            </w: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„Na realizację Programu w latach 2026–2027 planuje się przeznaczyć środki w wysokości ok. … mln zł rocznie (zgodnie z planem finansowym Ministerstwa). Środki te obejmują m.in. finansowanie otwartych konkursów ofert, wsparcie dla organizacji pozarządowych w ramach udziału w Komitetach Monitorujących oraz koszty działań informacyjno-edukacyjnych. Wysokość środków może ulec korekcie w zależności od potrzeb i możliwości budżetowych, przy czym nie będzie niższa niż … mln zł rocznie.”</w:t>
            </w:r>
          </w:p>
        </w:tc>
        <w:tc>
          <w:tcPr>
            <w:tcW w:w="1028" w:type="pct"/>
            <w:shd w:val="clear" w:color="auto" w:fill="auto"/>
          </w:tcPr>
          <w:p w14:paraId="3925B825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Wskazanie szacunkowej wysokości planowanych środków jest wymogiem ustawowym i warunkiem formalnej poprawności Programu. Pozwala to organizacjom pozarządowym ocenić realność działań i zakres potencjalnej współpracy, zwiększa przejrzystość dokumentu i wzmacnia zaufanie do procesu współpracy. Brak określenia środków czyni Program niepełnym w świetle art. 5a ust. 4 pkt 8 ustawy o działalności pożytku publicznego i o wolontariacie.</w:t>
            </w:r>
          </w:p>
        </w:tc>
        <w:tc>
          <w:tcPr>
            <w:tcW w:w="679" w:type="pct"/>
          </w:tcPr>
          <w:p w14:paraId="77164824" w14:textId="77777777" w:rsidR="00043F88" w:rsidRPr="00B3226C" w:rsidRDefault="003D79D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Program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nie ma dedykowanego budżetu, bowiem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spos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ób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jego realizacji. ma charakter ramowy i jest wdrażany przez poszczególn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komór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ki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organizacyjn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ramach realizowanych  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zadań</w:t>
            </w:r>
            <w:r w:rsidR="00043F88" w:rsidRPr="00D502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finansowanych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budże</w:t>
            </w:r>
            <w:r w:rsidR="0029452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tu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MFiPR</w:t>
            </w:r>
            <w:proofErr w:type="spellEnd"/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</w:tr>
      <w:tr w:rsidR="00043F88" w:rsidRPr="00575554" w14:paraId="7822F4EC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5822CCA0" w14:textId="77777777" w:rsidR="00043F88" w:rsidRPr="00575554" w:rsidRDefault="00043F88" w:rsidP="00043F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4A10FB47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Regionalny Ośrodek Polityki Społecznej </w:t>
            </w:r>
          </w:p>
          <w:p w14:paraId="0884B4E1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Rzeszowie</w:t>
            </w:r>
          </w:p>
        </w:tc>
        <w:tc>
          <w:tcPr>
            <w:tcW w:w="520" w:type="pct"/>
            <w:shd w:val="clear" w:color="auto" w:fill="auto"/>
          </w:tcPr>
          <w:p w14:paraId="661BC64C" w14:textId="77777777" w:rsidR="00043F88" w:rsidRDefault="00043F88" w:rsidP="00043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Program na lata 2026-2027</w:t>
            </w:r>
          </w:p>
        </w:tc>
        <w:tc>
          <w:tcPr>
            <w:tcW w:w="1057" w:type="pct"/>
            <w:shd w:val="clear" w:color="auto" w:fill="auto"/>
          </w:tcPr>
          <w:p w14:paraId="5293320B" w14:textId="77777777" w:rsidR="00043F88" w:rsidRPr="00B3226C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Warto ująć element wizji na kolejne lata</w:t>
            </w:r>
          </w:p>
        </w:tc>
        <w:tc>
          <w:tcPr>
            <w:tcW w:w="842" w:type="pct"/>
            <w:shd w:val="clear" w:color="auto" w:fill="auto"/>
          </w:tcPr>
          <w:p w14:paraId="73F3A111" w14:textId="77777777" w:rsidR="00043F88" w:rsidRPr="0000352F" w:rsidRDefault="00043F88" w:rsidP="00043F88">
            <w:pPr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oparciu o doświadczenia z realizacji Programu w latach 2026–2027 Ministerstwo przygotuje projekt programu wieloletniego (do 2030 r.), uwzględniającego rekomendacje, opinie NGO oraz nowe wyzwania.</w:t>
            </w:r>
          </w:p>
        </w:tc>
        <w:tc>
          <w:tcPr>
            <w:tcW w:w="1028" w:type="pct"/>
            <w:shd w:val="clear" w:color="auto" w:fill="auto"/>
          </w:tcPr>
          <w:p w14:paraId="6476F78B" w14:textId="77777777" w:rsidR="00043F88" w:rsidRPr="0000352F" w:rsidRDefault="00043F88" w:rsidP="00043F8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podstawie doświadczeń z lat 2026–2027 przygotowany zostanie program wieloletni do 2030 r.”</w:t>
            </w:r>
          </w:p>
        </w:tc>
        <w:tc>
          <w:tcPr>
            <w:tcW w:w="679" w:type="pct"/>
          </w:tcPr>
          <w:p w14:paraId="43037EC4" w14:textId="77777777" w:rsidR="00043F88" w:rsidRPr="00B3226C" w:rsidRDefault="00D43529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ocenie resortu, r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ealizacja Programu w formule dwuletniej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spra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 się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Zapewnia</w:t>
            </w:r>
            <w:r w:rsidR="00043F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="00043F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egularne aktualizacje 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które </w:t>
            </w:r>
            <w:r w:rsidR="00043F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pozwalają na 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elastyczne</w:t>
            </w:r>
            <w:r w:rsidR="00043F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dostosowanie dokumentu do zmian w organizacji jej priorytetach lub strukturze. Pozwalają </w:t>
            </w:r>
            <w:r w:rsidR="00043F8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utrzymać dokument w zgodności z przepisami oraz użytkownicy mają pewność, że zawarte w nim dane są aktualne.</w:t>
            </w:r>
          </w:p>
        </w:tc>
      </w:tr>
      <w:tr w:rsidR="00043F88" w:rsidRPr="00575554" w14:paraId="50D84085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701B0C20" w14:textId="77777777" w:rsidR="00043F88" w:rsidRPr="00575554" w:rsidRDefault="00043F88" w:rsidP="00043F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58AD1458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Regionalny Ośrodek Polityki Społecznej </w:t>
            </w:r>
          </w:p>
          <w:p w14:paraId="02F26364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Rzeszowie</w:t>
            </w:r>
          </w:p>
        </w:tc>
        <w:tc>
          <w:tcPr>
            <w:tcW w:w="520" w:type="pct"/>
            <w:shd w:val="clear" w:color="auto" w:fill="auto"/>
          </w:tcPr>
          <w:p w14:paraId="27DBAAA1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NGO</w:t>
            </w:r>
          </w:p>
        </w:tc>
        <w:tc>
          <w:tcPr>
            <w:tcW w:w="1057" w:type="pct"/>
            <w:shd w:val="clear" w:color="auto" w:fill="auto"/>
          </w:tcPr>
          <w:p w14:paraId="312D97EA" w14:textId="77777777" w:rsidR="00043F88" w:rsidRPr="0000352F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Współudział NGO w przygotowaniu strategii.</w:t>
            </w:r>
          </w:p>
        </w:tc>
        <w:tc>
          <w:tcPr>
            <w:tcW w:w="842" w:type="pct"/>
            <w:shd w:val="clear" w:color="auto" w:fill="auto"/>
          </w:tcPr>
          <w:p w14:paraId="3D29CA0B" w14:textId="77777777" w:rsidR="00043F88" w:rsidRDefault="00043F88" w:rsidP="00043F88">
            <w:pPr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5A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Wzmocnić zapis o udziale NGO w tworzeniu nowych strategii i programów rządowych np. poprzez stałe zespoły robocze.</w:t>
            </w:r>
          </w:p>
        </w:tc>
        <w:tc>
          <w:tcPr>
            <w:tcW w:w="1028" w:type="pct"/>
            <w:shd w:val="clear" w:color="auto" w:fill="auto"/>
          </w:tcPr>
          <w:p w14:paraId="0738E044" w14:textId="77777777" w:rsidR="00043F88" w:rsidRPr="0000352F" w:rsidRDefault="00043F88" w:rsidP="00043F8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03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Jest mowa tylko o konsultacjach z NGO a powinno się wzmocnić ich udział        w projekcie</w:t>
            </w:r>
          </w:p>
        </w:tc>
        <w:tc>
          <w:tcPr>
            <w:tcW w:w="679" w:type="pct"/>
          </w:tcPr>
          <w:p w14:paraId="2C004322" w14:textId="77777777" w:rsidR="00466E12" w:rsidRDefault="00E20F35" w:rsidP="00466E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Konsultacje z organizacjami pozarządowymi pozwalają tworzyć rozwiązania bardziej skuteczne i dostosowane do realnych wyzwań. Dają gwarancję , że podejmowane działania mają poparcie społeczne i odpowiadają na potrzeby obywateli. </w:t>
            </w:r>
            <w:r w:rsidR="003D79D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odniesieniu do 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średniookresowej strategii rozwoju pn. „Strategia Rozwoju Polski do 2035 r.”(SRP 2035)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D4352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="00466E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apisy projektu SRP2035 zakładają, że we wdrażaniu tego dokumentu będą brać udział organizacje pozarządowe, co będzie pozytywnie wpływało na założone cele. (Priorytet 2.7: Dbanie o jakość życia</w:t>
            </w:r>
          </w:p>
          <w:p w14:paraId="211C2C32" w14:textId="77777777" w:rsidR="00043F88" w:rsidRPr="00B3226C" w:rsidRDefault="00466E12" w:rsidP="00466E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wszystkich obywateli i Priorytet 3.5: Skutecznie działająca administracja).</w:t>
            </w:r>
          </w:p>
        </w:tc>
      </w:tr>
      <w:tr w:rsidR="00043F88" w:rsidRPr="00575554" w14:paraId="042F4590" w14:textId="77777777" w:rsidTr="007E1CE9">
        <w:trPr>
          <w:trHeight w:val="243"/>
        </w:trPr>
        <w:tc>
          <w:tcPr>
            <w:tcW w:w="220" w:type="pct"/>
            <w:shd w:val="clear" w:color="auto" w:fill="auto"/>
          </w:tcPr>
          <w:p w14:paraId="13301DAA" w14:textId="77777777" w:rsidR="00043F88" w:rsidRPr="00575554" w:rsidRDefault="00043F88" w:rsidP="00043F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</w:tcPr>
          <w:p w14:paraId="37EEB316" w14:textId="77777777" w:rsidR="00043F88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520" w:type="pct"/>
            <w:shd w:val="clear" w:color="auto" w:fill="auto"/>
          </w:tcPr>
          <w:p w14:paraId="5B5932E6" w14:textId="77777777" w:rsidR="00043F88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E1CE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 Potencjalni interesariusze programu</w:t>
            </w:r>
          </w:p>
        </w:tc>
        <w:tc>
          <w:tcPr>
            <w:tcW w:w="1057" w:type="pct"/>
            <w:shd w:val="clear" w:color="auto" w:fill="auto"/>
          </w:tcPr>
          <w:p w14:paraId="08028E94" w14:textId="77777777" w:rsidR="00043F88" w:rsidRPr="007E1CE9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E1CE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Wśród interesariuszy warto byłoby wyróżnić organizacje reprezentujące interesy samorządu terytorialnego.</w:t>
            </w:r>
          </w:p>
        </w:tc>
        <w:tc>
          <w:tcPr>
            <w:tcW w:w="842" w:type="pct"/>
            <w:shd w:val="clear" w:color="auto" w:fill="auto"/>
          </w:tcPr>
          <w:p w14:paraId="65248241" w14:textId="77777777" w:rsidR="00043F88" w:rsidRPr="00CF03E8" w:rsidRDefault="00043F88" w:rsidP="00043F88">
            <w:pPr>
              <w:spacing w:after="0" w:line="240" w:lineRule="auto"/>
              <w:ind w:left="38" w:hanging="38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Dodanie punktu:</w:t>
            </w:r>
          </w:p>
          <w:p w14:paraId="44A5E42F" w14:textId="77777777" w:rsidR="00043F88" w:rsidRPr="00CF03E8" w:rsidRDefault="00043F88" w:rsidP="00043F88">
            <w:pPr>
              <w:spacing w:after="0" w:line="240" w:lineRule="auto"/>
              <w:ind w:left="38" w:hanging="38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Organizacje samorządowe </w:t>
            </w:r>
            <w:bookmarkStart w:id="0" w:name="_Hlk212725741"/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 organizacje i korporacje zrzeszające jednostki samorządu terytorialnego, w tym organizacji wchodzących w skład Komisji Wspólnej Rządu i Samorządu Terytorialnego</w:t>
            </w:r>
            <w:bookmarkEnd w:id="0"/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28" w:type="pct"/>
            <w:shd w:val="clear" w:color="auto" w:fill="auto"/>
          </w:tcPr>
          <w:p w14:paraId="2B2FC07C" w14:textId="77777777" w:rsidR="00043F88" w:rsidRPr="007E1CE9" w:rsidRDefault="00043F88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Organizacje i korporacje zrzeszające jednostki i instytucje samorządu terytorialnego są aktywnym i stałym partnerem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MFiPR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 Fundusze europejskie są kierowane w znacznej części do samorządów, a przedstawiciele korporacji samorządowych uczestniczą w pracach komitetów i podkomitetów monitorujących różnego rodzaju programów i funduszy. Warto więc wyróżnić ten typ organizacji – działających na styku NGO i administracji publicznej – w katalogu interesariuszy. Jednocześnie organizacje zrzeszające samorządy są organizacjami pozarządowymi w rozumieniu projektu Programu oraz Ustawy.</w:t>
            </w:r>
          </w:p>
        </w:tc>
        <w:tc>
          <w:tcPr>
            <w:tcW w:w="679" w:type="pct"/>
          </w:tcPr>
          <w:p w14:paraId="61F80D9E" w14:textId="77777777" w:rsidR="00043F88" w:rsidRPr="00B3226C" w:rsidRDefault="001F50E7" w:rsidP="00043F8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Uwaga uwzględniona. Dodano punkt w liście interesariuszy Programu. </w:t>
            </w:r>
          </w:p>
        </w:tc>
      </w:tr>
      <w:tr w:rsidR="00466E12" w:rsidRPr="00B3226C" w14:paraId="3EA9A05E" w14:textId="77777777" w:rsidTr="00466E12">
        <w:trPr>
          <w:trHeight w:val="24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4CA7" w14:textId="77777777" w:rsidR="00466E12" w:rsidRPr="00575554" w:rsidRDefault="00466E12" w:rsidP="00466E12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402" w14:textId="77777777" w:rsidR="00466E12" w:rsidRPr="0000352F" w:rsidRDefault="00466E12" w:rsidP="00403C6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6331" w14:textId="77777777" w:rsidR="00466E12" w:rsidRPr="00466E12" w:rsidRDefault="00466E12" w:rsidP="00403C6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5.2. Współpraca niefinansowa (akapit pierwszy)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06B3" w14:textId="77777777" w:rsidR="00466E12" w:rsidRPr="0000352F" w:rsidRDefault="00466E12" w:rsidP="00403C6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E1CE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Warto dopisać wspólne prowadzenie szkoleń jako jedną z form takiej współpracy.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C7D6" w14:textId="77777777" w:rsidR="00466E12" w:rsidRPr="00CF03E8" w:rsidRDefault="00466E12" w:rsidP="00466E12">
            <w:pPr>
              <w:spacing w:after="0" w:line="240" w:lineRule="auto"/>
              <w:ind w:left="38" w:hanging="38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… przeprowadzeniu działań informacyjno-</w:t>
            </w:r>
          </w:p>
          <w:p w14:paraId="1714292C" w14:textId="77777777" w:rsidR="00466E12" w:rsidRPr="0000352F" w:rsidRDefault="00466E12" w:rsidP="00403C66">
            <w:pPr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03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edukacyjnych (np. organizacja konferencji, seminariów, kampanii, szkoleń z zakresu przepisów prawnych i rozwiązań organizacyjnych) (…).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3AF2" w14:textId="77777777" w:rsidR="00466E12" w:rsidRPr="0000352F" w:rsidRDefault="00466E12" w:rsidP="00466E1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E1CE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Prowadzenie szkoleń różnego typu – zarówno dla podmiotów instytucjonalnych jak i osób fizycznych – to znaczna część działań organizacji pozarządowych. Warto w tym zakresie promować współpracę na tym polu z tak wyspecjalizowanym ministerstwem jak Ministerstwo Funduszy i Polityki Regionalnej.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E6E" w14:textId="77777777" w:rsidR="00466E12" w:rsidRPr="00B3226C" w:rsidRDefault="00851F45" w:rsidP="00403C6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swoim założeniu P</w:t>
            </w:r>
            <w:r w:rsidR="00466E12" w:rsidRPr="002C19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rogram nie obejmuje bezpośrednio komponentu szkoleniowego ani mechanizmu współpracy z NGO w tym zakresie.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Szkolenia</w:t>
            </w:r>
            <w:r w:rsidR="00466E12" w:rsidRPr="002C190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realizowane są w ramach odrębnych działań, w ramach poszczególnych  programów operacyjnych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 uwagi na różnorodność realizowanych zadań i przedsięwzięć.</w:t>
            </w:r>
          </w:p>
        </w:tc>
      </w:tr>
    </w:tbl>
    <w:p w14:paraId="0C79FA09" w14:textId="77777777" w:rsidR="00C271DA" w:rsidRDefault="00C271DA"/>
    <w:sectPr w:rsidR="00C271DA" w:rsidSect="005755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FAA4" w14:textId="77777777" w:rsidR="00E16D94" w:rsidRDefault="00E16D94" w:rsidP="00575554">
      <w:pPr>
        <w:spacing w:after="0" w:line="240" w:lineRule="auto"/>
      </w:pPr>
      <w:r>
        <w:separator/>
      </w:r>
    </w:p>
  </w:endnote>
  <w:endnote w:type="continuationSeparator" w:id="0">
    <w:p w14:paraId="2571A5B1" w14:textId="77777777" w:rsidR="00E16D94" w:rsidRDefault="00E16D94" w:rsidP="0057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F47A" w14:textId="77777777" w:rsidR="00E16D94" w:rsidRDefault="00E16D94" w:rsidP="00575554">
      <w:pPr>
        <w:spacing w:after="0" w:line="240" w:lineRule="auto"/>
      </w:pPr>
      <w:r>
        <w:separator/>
      </w:r>
    </w:p>
  </w:footnote>
  <w:footnote w:type="continuationSeparator" w:id="0">
    <w:p w14:paraId="343C6822" w14:textId="77777777" w:rsidR="00E16D94" w:rsidRDefault="00E16D94" w:rsidP="0057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60305"/>
    <w:multiLevelType w:val="hybridMultilevel"/>
    <w:tmpl w:val="7FCE7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86E"/>
    <w:multiLevelType w:val="hybridMultilevel"/>
    <w:tmpl w:val="7FCE7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54"/>
    <w:rsid w:val="0000352F"/>
    <w:rsid w:val="00007DBC"/>
    <w:rsid w:val="00043F88"/>
    <w:rsid w:val="00060C38"/>
    <w:rsid w:val="000B3A86"/>
    <w:rsid w:val="00187C5D"/>
    <w:rsid w:val="001A4A48"/>
    <w:rsid w:val="001C1622"/>
    <w:rsid w:val="001F50E7"/>
    <w:rsid w:val="00204417"/>
    <w:rsid w:val="00272745"/>
    <w:rsid w:val="00273793"/>
    <w:rsid w:val="002943B9"/>
    <w:rsid w:val="00294525"/>
    <w:rsid w:val="00294F1C"/>
    <w:rsid w:val="002C190B"/>
    <w:rsid w:val="00385FED"/>
    <w:rsid w:val="003875A8"/>
    <w:rsid w:val="003D79D8"/>
    <w:rsid w:val="00403C66"/>
    <w:rsid w:val="004158CA"/>
    <w:rsid w:val="00426940"/>
    <w:rsid w:val="00466E12"/>
    <w:rsid w:val="004962A1"/>
    <w:rsid w:val="004A041F"/>
    <w:rsid w:val="004E554A"/>
    <w:rsid w:val="00575554"/>
    <w:rsid w:val="005915EE"/>
    <w:rsid w:val="006103B0"/>
    <w:rsid w:val="006E6784"/>
    <w:rsid w:val="00771CC8"/>
    <w:rsid w:val="007A3B42"/>
    <w:rsid w:val="007E1CE9"/>
    <w:rsid w:val="007E551D"/>
    <w:rsid w:val="00820CF3"/>
    <w:rsid w:val="008416C0"/>
    <w:rsid w:val="00851F45"/>
    <w:rsid w:val="008D322B"/>
    <w:rsid w:val="008E5865"/>
    <w:rsid w:val="008F74EE"/>
    <w:rsid w:val="00962FF4"/>
    <w:rsid w:val="009A484D"/>
    <w:rsid w:val="00A50691"/>
    <w:rsid w:val="00A52A8F"/>
    <w:rsid w:val="00AE4756"/>
    <w:rsid w:val="00B23EEC"/>
    <w:rsid w:val="00B3226C"/>
    <w:rsid w:val="00B34D0E"/>
    <w:rsid w:val="00B91E5F"/>
    <w:rsid w:val="00BB2799"/>
    <w:rsid w:val="00BE7136"/>
    <w:rsid w:val="00C271DA"/>
    <w:rsid w:val="00CF03E8"/>
    <w:rsid w:val="00D43529"/>
    <w:rsid w:val="00D5025A"/>
    <w:rsid w:val="00DD05D0"/>
    <w:rsid w:val="00E123AF"/>
    <w:rsid w:val="00E16D94"/>
    <w:rsid w:val="00E20F35"/>
    <w:rsid w:val="00E231C3"/>
    <w:rsid w:val="00E72CF3"/>
    <w:rsid w:val="00E87D36"/>
    <w:rsid w:val="00EA5A85"/>
    <w:rsid w:val="00F206E7"/>
    <w:rsid w:val="00F657E1"/>
    <w:rsid w:val="00FA2AFF"/>
    <w:rsid w:val="00F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C7F5"/>
  <w15:chartTrackingRefBased/>
  <w15:docId w15:val="{AD659231-8283-4970-8EDE-6FD129D4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555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55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5554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322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3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fundusze-regiony/program-wspolpracy-mr-z-organizacjamipozarzadowy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8558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https://www.gov.pl/</vt:lpwstr>
      </vt:variant>
      <vt:variant>
        <vt:lpwstr/>
      </vt:variant>
      <vt:variant>
        <vt:i4>2949218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https://www.gov.pl/web/fundusze-regiony/program-wspolpracy-mr-z-organizacjamipozarzadowymi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Grabowska-Markiewicz</dc:creator>
  <cp:keywords/>
  <cp:lastModifiedBy>Czachor Małgorzata</cp:lastModifiedBy>
  <cp:revision>4</cp:revision>
  <dcterms:created xsi:type="dcterms:W3CDTF">2025-11-21T07:31:00Z</dcterms:created>
  <dcterms:modified xsi:type="dcterms:W3CDTF">2025-11-21T08:26:00Z</dcterms:modified>
</cp:coreProperties>
</file>