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D5B" w:rsidRDefault="00DE4889">
      <w:pPr>
        <w:pStyle w:val="Bodytext10"/>
        <w:spacing w:after="100" w:line="240" w:lineRule="auto"/>
        <w:jc w:val="right"/>
      </w:pPr>
      <w:bookmarkStart w:id="0" w:name="_GoBack"/>
      <w:bookmarkEnd w:id="0"/>
      <w:r>
        <w:rPr>
          <w:rStyle w:val="Bodytext1"/>
        </w:rPr>
        <w:t xml:space="preserve">     </w:t>
      </w:r>
      <w:r w:rsidR="001F0DB4">
        <w:rPr>
          <w:rStyle w:val="Bodytext1"/>
        </w:rPr>
        <w:t>, dn. 22.11.2024</w:t>
      </w:r>
    </w:p>
    <w:p w:rsidR="00906D5B" w:rsidRDefault="001F0DB4">
      <w:pPr>
        <w:pStyle w:val="Bodytext10"/>
        <w:spacing w:after="40" w:line="240" w:lineRule="auto"/>
        <w:rPr>
          <w:sz w:val="20"/>
          <w:szCs w:val="20"/>
        </w:rPr>
      </w:pPr>
      <w:r>
        <w:rPr>
          <w:rStyle w:val="Bodytext1"/>
          <w:b/>
          <w:bCs/>
          <w:sz w:val="20"/>
          <w:szCs w:val="20"/>
        </w:rPr>
        <w:t>Dane wnoszącego petycję</w:t>
      </w:r>
    </w:p>
    <w:p w:rsidR="00906D5B" w:rsidRDefault="00DE4889">
      <w:pPr>
        <w:pStyle w:val="Bodytext10"/>
        <w:spacing w:after="40" w:line="240" w:lineRule="auto"/>
      </w:pPr>
      <w:r w:rsidRPr="00DE4889">
        <w:t xml:space="preserve">Agnieszka </w:t>
      </w:r>
      <w:r>
        <w:t>Gökdaş</w:t>
      </w:r>
    </w:p>
    <w:p w:rsidR="00906D5B" w:rsidRDefault="00906D5B">
      <w:pPr>
        <w:pStyle w:val="Bodytext10"/>
        <w:spacing w:after="40" w:line="240" w:lineRule="auto"/>
      </w:pPr>
    </w:p>
    <w:p w:rsidR="00906D5B" w:rsidRDefault="00906D5B">
      <w:pPr>
        <w:pStyle w:val="Bodytext10"/>
        <w:spacing w:after="40" w:line="240" w:lineRule="auto"/>
      </w:pPr>
    </w:p>
    <w:p w:rsidR="00906D5B" w:rsidRDefault="00906D5B">
      <w:pPr>
        <w:pStyle w:val="Bodytext10"/>
        <w:spacing w:after="380" w:line="240" w:lineRule="auto"/>
      </w:pPr>
    </w:p>
    <w:p w:rsidR="00906D5B" w:rsidRDefault="001F0DB4">
      <w:pPr>
        <w:pStyle w:val="Bodytext10"/>
        <w:spacing w:after="40" w:line="240" w:lineRule="auto"/>
        <w:rPr>
          <w:sz w:val="20"/>
          <w:szCs w:val="20"/>
        </w:rPr>
      </w:pPr>
      <w:r>
        <w:rPr>
          <w:rStyle w:val="Bodytext1"/>
          <w:b/>
          <w:bCs/>
          <w:sz w:val="20"/>
          <w:szCs w:val="20"/>
        </w:rPr>
        <w:t>Dane podmiotu trzeciego, w interesie którego składana jest petycja</w:t>
      </w:r>
    </w:p>
    <w:p w:rsidR="00906D5B" w:rsidRDefault="00906D5B">
      <w:pPr>
        <w:pStyle w:val="Bodytext10"/>
        <w:spacing w:after="40" w:line="240" w:lineRule="auto"/>
      </w:pPr>
    </w:p>
    <w:p w:rsidR="00906D5B" w:rsidRDefault="00906D5B">
      <w:pPr>
        <w:pStyle w:val="Bodytext10"/>
        <w:spacing w:after="40" w:line="240" w:lineRule="auto"/>
      </w:pPr>
    </w:p>
    <w:p w:rsidR="00906D5B" w:rsidRDefault="00906D5B">
      <w:pPr>
        <w:pStyle w:val="Bodytext10"/>
        <w:spacing w:after="380" w:line="240" w:lineRule="auto"/>
      </w:pPr>
    </w:p>
    <w:p w:rsidR="00906D5B" w:rsidRDefault="001F0DB4">
      <w:pPr>
        <w:pStyle w:val="Bodytext10"/>
        <w:spacing w:after="280" w:line="293" w:lineRule="auto"/>
      </w:pPr>
      <w:r>
        <w:rPr>
          <w:rStyle w:val="Bodytext1"/>
          <w:u w:val="single"/>
        </w:rPr>
        <w:t xml:space="preserve">ZGADZAM SIE NA UJAWNIENIE </w:t>
      </w:r>
      <w:r w:rsidR="00DE4889">
        <w:rPr>
          <w:rStyle w:val="Bodytext1"/>
          <w:u w:val="single"/>
        </w:rPr>
        <w:t>I</w:t>
      </w:r>
      <w:r>
        <w:rPr>
          <w:rStyle w:val="Bodytext1"/>
          <w:u w:val="single"/>
        </w:rPr>
        <w:t xml:space="preserve"> PRZETWARZANIE MOICH </w:t>
      </w:r>
      <w:r>
        <w:rPr>
          <w:rStyle w:val="Bodytext1"/>
          <w:u w:val="single"/>
          <w:lang w:val="en-US" w:eastAsia="en-US" w:bidi="en-US"/>
        </w:rPr>
        <w:t>DAN</w:t>
      </w:r>
      <w:r>
        <w:rPr>
          <w:rStyle w:val="Bodytext1"/>
          <w:u w:val="single"/>
        </w:rPr>
        <w:t>YCH OSOBOWYCH</w:t>
      </w:r>
    </w:p>
    <w:p w:rsidR="00906D5B" w:rsidRDefault="001F0DB4">
      <w:pPr>
        <w:pStyle w:val="Bodytext10"/>
        <w:spacing w:line="298" w:lineRule="auto"/>
        <w:jc w:val="right"/>
      </w:pPr>
      <w:r>
        <w:rPr>
          <w:rStyle w:val="Bodytext1"/>
          <w:b/>
          <w:bCs/>
        </w:rPr>
        <w:t>Do:</w:t>
      </w:r>
    </w:p>
    <w:p w:rsidR="00906D5B" w:rsidRDefault="001F0DB4">
      <w:pPr>
        <w:pStyle w:val="Bodytext10"/>
        <w:spacing w:after="380" w:line="298" w:lineRule="auto"/>
        <w:ind w:left="6760"/>
        <w:jc w:val="right"/>
      </w:pPr>
      <w:r>
        <w:rPr>
          <w:rStyle w:val="Bodytext1"/>
        </w:rPr>
        <w:t>Prezes Rady Ministrów al.</w:t>
      </w:r>
      <w:r w:rsidR="00DE4889">
        <w:rPr>
          <w:rStyle w:val="Bodytext1"/>
        </w:rPr>
        <w:t> </w:t>
      </w:r>
      <w:r>
        <w:rPr>
          <w:rStyle w:val="Bodytext1"/>
        </w:rPr>
        <w:t xml:space="preserve">Ujazdowskie 1/3 </w:t>
      </w:r>
      <w:r w:rsidR="00DE4889">
        <w:rPr>
          <w:rStyle w:val="Bodytext1"/>
        </w:rPr>
        <w:br/>
      </w:r>
      <w:r>
        <w:rPr>
          <w:rStyle w:val="Bodytext1"/>
        </w:rPr>
        <w:t>00-583 Warszawa</w:t>
      </w:r>
    </w:p>
    <w:p w:rsidR="00906D5B" w:rsidRDefault="001F0DB4">
      <w:pPr>
        <w:pStyle w:val="Bodytext10"/>
        <w:spacing w:after="380" w:line="425" w:lineRule="auto"/>
        <w:jc w:val="center"/>
        <w:rPr>
          <w:sz w:val="20"/>
          <w:szCs w:val="20"/>
        </w:rPr>
      </w:pPr>
      <w:r>
        <w:rPr>
          <w:rStyle w:val="Bodytext1"/>
          <w:b/>
          <w:bCs/>
          <w:sz w:val="20"/>
          <w:szCs w:val="20"/>
        </w:rPr>
        <w:t>Petycja w sprawie podjęcia rozstrzygnięcia sprawy wydania zezwolenia na pobyt</w:t>
      </w:r>
      <w:r>
        <w:rPr>
          <w:rStyle w:val="Bodytext1"/>
          <w:b/>
          <w:bCs/>
          <w:sz w:val="20"/>
          <w:szCs w:val="20"/>
        </w:rPr>
        <w:br/>
        <w:t>czasowy dla cudzoziemca - małżonka obywatela RP (w terminie przewidywanym</w:t>
      </w:r>
      <w:r>
        <w:rPr>
          <w:rStyle w:val="Bodytext1"/>
          <w:b/>
          <w:bCs/>
          <w:sz w:val="20"/>
          <w:szCs w:val="20"/>
        </w:rPr>
        <w:br/>
        <w:t>ustawą)</w:t>
      </w:r>
    </w:p>
    <w:p w:rsidR="00906D5B" w:rsidRDefault="001F0DB4">
      <w:pPr>
        <w:pStyle w:val="Bodytext10"/>
        <w:spacing w:after="380" w:line="384" w:lineRule="auto"/>
      </w:pPr>
      <w:r>
        <w:rPr>
          <w:rStyle w:val="Bodytext1"/>
        </w:rPr>
        <w:t xml:space="preserve">Działając w imieniu </w:t>
      </w:r>
      <w:r w:rsidR="00DE4889">
        <w:rPr>
          <w:rStyle w:val="Bodytext1"/>
        </w:rPr>
        <w:t xml:space="preserve">                 </w:t>
      </w:r>
      <w:r>
        <w:rPr>
          <w:rStyle w:val="Bodytext1"/>
        </w:rPr>
        <w:t xml:space="preserve">, 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2 ustawy z dnia 11 lipca 2014 r. o petycjach, wnoszę o sprawdzenie poprawności działania urzędów w sprawie kart pobytu dla obcokrajowców - małżonków obywateli RP a tym samym rozwiązania toczącej się sprawy dotyczącej zezwolenia na pobyt dla </w:t>
      </w:r>
      <w:r w:rsidR="00DE4889">
        <w:rPr>
          <w:rStyle w:val="Bodytext1"/>
        </w:rPr>
        <w:t xml:space="preserve">          </w:t>
      </w:r>
      <w:r>
        <w:rPr>
          <w:rStyle w:val="Bodytext1"/>
        </w:rPr>
        <w:t>.</w:t>
      </w:r>
    </w:p>
    <w:p w:rsidR="00906D5B" w:rsidRDefault="001F0DB4">
      <w:pPr>
        <w:pStyle w:val="Bodytext10"/>
      </w:pPr>
      <w:r>
        <w:rPr>
          <w:rStyle w:val="Bodytext1"/>
        </w:rPr>
        <w:t>Zgodnie z Dz.U.2024.769 t.j. Art. 112a. [Termin wydania decyzji w sprawie udzielenia cudzoziemcowi zezwolenia na pobyt czasowy]</w:t>
      </w:r>
    </w:p>
    <w:p w:rsidR="00906D5B" w:rsidRDefault="001F0DB4">
      <w:pPr>
        <w:pStyle w:val="Bodytext10"/>
      </w:pPr>
      <w:r>
        <w:rPr>
          <w:rStyle w:val="Bodytext1"/>
          <w:i/>
          <w:iCs/>
        </w:rPr>
        <w:t>1. Decyzję w sprawie udzielenia cudzoziemcowi zezwolenia na pobyt czasowy wy daje się</w:t>
      </w:r>
      <w:r>
        <w:rPr>
          <w:rStyle w:val="Bodytext1"/>
          <w:b/>
          <w:bCs/>
        </w:rPr>
        <w:t xml:space="preserve"> w </w:t>
      </w:r>
      <w:r>
        <w:rPr>
          <w:rStyle w:val="Bodytext1"/>
          <w:i/>
          <w:iCs/>
        </w:rPr>
        <w:t>terminie 60 dni.</w:t>
      </w:r>
    </w:p>
    <w:p w:rsidR="00906D5B" w:rsidRDefault="001F0DB4">
      <w:pPr>
        <w:pStyle w:val="Bodytext10"/>
      </w:pPr>
      <w:r>
        <w:rPr>
          <w:rStyle w:val="Bodytext1"/>
        </w:rPr>
        <w:t>Urząd wojewódzki w Opolu rażąco naruszył przepisy wyżej przytoczonej ustawy, nie wywiązując się z</w:t>
      </w:r>
      <w:r w:rsidR="00DE4889">
        <w:rPr>
          <w:rStyle w:val="Bodytext1"/>
        </w:rPr>
        <w:t> </w:t>
      </w:r>
      <w:r>
        <w:rPr>
          <w:rStyle w:val="Bodytext1"/>
        </w:rPr>
        <w:t>terminu. Mamy do czynienia z opieszałością i przewlekłym prowadzeniem. sprawy, co ma negatywne konsekwencje - oznacza brak zysków i narażenie na długi.</w:t>
      </w:r>
    </w:p>
    <w:p w:rsidR="00906D5B" w:rsidRDefault="001F0DB4">
      <w:pPr>
        <w:pStyle w:val="Bodytext10"/>
        <w:spacing w:after="380"/>
      </w:pPr>
      <w:r>
        <w:rPr>
          <w:rStyle w:val="Bodytext1"/>
        </w:rPr>
        <w:t>Sytuacja, w której strona jest pozbawiona możliwości legalnej pracy, która czeka tak długo, jak w tej sprawie na rozstrzygnięcie organu administracji publicznej - nie da się pogodzić z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regułami demokratycznego państwa prawa. Zachowanie organu nic zasługuje na aprobatę i w sposób oczywisty podważa zaufanie jednostki do organów administracji publicznej.</w:t>
      </w:r>
    </w:p>
    <w:p w:rsidR="00906D5B" w:rsidRDefault="001F0DB4">
      <w:pPr>
        <w:pStyle w:val="Bodytext10"/>
        <w:spacing w:after="380" w:line="382" w:lineRule="auto"/>
      </w:pPr>
      <w:r>
        <w:rPr>
          <w:rStyle w:val="Bodytext1"/>
        </w:rPr>
        <w:t>Wniosek o wydanie karty pobytu wraz z załącznikami został złożony w biurze podawczym dnia 11.04.2024. Pragnę zaznaczyć, iż w Urzędzie Wojewódzkim w Opolu obecnie nic ma żadnej możliwości osobistego stawiennictwa w celu złożenia dokumentów, system kolejkowy nie posiada możliwości wyboru rezerwacji terminu na złożenie dokumentów - wszyscy petenci odsyłani są do biura podawczego. Następnie w lipcu 2024 zostaliśmy wezwani w celu uzupełnienia braków oraz złożenia odcisków palców dopiero na dzień 04.09.2024. Owym brakiem był fakt, że do wniosku dołączyliśmy tylko skan zapisanych stron paszportu, a w liście zostaliśmy poproszeni o dostarczenie skanu wszystkich stron. Chciałabym nadmienić, iż na stronie głównej Urzędu do Spraw Obywatelskich i Cudzoziemców widnieje informacja, że należy dostarczyć jedynie kopię zapisanych stron. W świetle wyżej wymienionych faktów, wniosek był złożony kompletny dnia 11.04.2024, a więc termin 60 dni według ustawy Dz.U.2024.769 t.j. Art. 112a. powinien biec od tego dnia, a nie od dnia 4.09.2024.</w:t>
      </w:r>
    </w:p>
    <w:p w:rsidR="00906D5B" w:rsidRDefault="001F0DB4">
      <w:pPr>
        <w:pStyle w:val="Bodytext10"/>
        <w:spacing w:line="372" w:lineRule="auto"/>
      </w:pPr>
      <w:r>
        <w:rPr>
          <w:rStyle w:val="Bodytext1"/>
        </w:rPr>
        <w:t xml:space="preserve">Po 60 dniach od 11.04.2024 wysłane zostało ponaglenie i skarga na opieszałość urzędu, a następnie również wysłane zostało kolejne ponaglenie 60 dni po 04.09.2024, czyli po dacie złożenia odcisków palców. Na oba ponaglenia otrzymane zostały odpowiedzi, w których przytoczona została nowa ustawa Dz.U.2024.167 </w:t>
      </w:r>
      <w:r w:rsidR="00571EBE">
        <w:rPr>
          <w:rStyle w:val="Bodytext1"/>
        </w:rPr>
        <w:t>t.</w:t>
      </w:r>
      <w:r>
        <w:rPr>
          <w:rStyle w:val="Bodytext1"/>
        </w:rPr>
        <w:t>j. z dnia 12 marca 2022 r. o pomocy obywatelom Ukrainy w związku z konfliktem zbrojnym na terytorium tego państwa, a konkretnie artykuł 100c i 100d, które mówią o tym, że zawieszony jest bieg terminów na załatwienie spraw dotyczących zezwoleń na pobyt.</w:t>
      </w:r>
    </w:p>
    <w:p w:rsidR="00906D5B" w:rsidRDefault="001F0DB4">
      <w:pPr>
        <w:pStyle w:val="Bodytext10"/>
        <w:spacing w:line="372" w:lineRule="auto"/>
      </w:pPr>
      <w:r>
        <w:rPr>
          <w:rStyle w:val="Bodytext1"/>
          <w:i/>
          <w:iCs/>
        </w:rPr>
        <w:t xml:space="preserve">Art. </w:t>
      </w:r>
      <w:r w:rsidR="00DE4889">
        <w:rPr>
          <w:rStyle w:val="Bodytext1"/>
          <w:i/>
          <w:iCs/>
        </w:rPr>
        <w:t>100</w:t>
      </w:r>
      <w:r>
        <w:rPr>
          <w:rStyle w:val="Bodytext1"/>
          <w:i/>
          <w:iCs/>
        </w:rPr>
        <w:t>d.</w:t>
      </w:r>
    </w:p>
    <w:p w:rsidR="00906D5B" w:rsidRDefault="001F0DB4">
      <w:pPr>
        <w:pStyle w:val="Bodytext10"/>
      </w:pPr>
      <w:r>
        <w:rPr>
          <w:rStyle w:val="Bodytext1"/>
          <w:i/>
          <w:iCs/>
        </w:rPr>
        <w:t>1. 201 W okresie do dnia 30 września 2025 r. bieg terminów na załatwienie spraw dotyczących:</w:t>
      </w:r>
    </w:p>
    <w:p w:rsidR="00906D5B" w:rsidRDefault="001F0DB4">
      <w:pPr>
        <w:pStyle w:val="Bodytext10"/>
        <w:spacing w:line="377" w:lineRule="auto"/>
      </w:pPr>
      <w:r>
        <w:rPr>
          <w:rStyle w:val="Bodytext1"/>
          <w:i/>
          <w:iCs/>
        </w:rPr>
        <w:t>1) udzielenia cudzoziemcowi:</w:t>
      </w:r>
    </w:p>
    <w:p w:rsidR="00906D5B" w:rsidRDefault="001F0DB4">
      <w:pPr>
        <w:pStyle w:val="Bodytext10"/>
        <w:numPr>
          <w:ilvl w:val="0"/>
          <w:numId w:val="1"/>
        </w:numPr>
        <w:tabs>
          <w:tab w:val="left" w:pos="322"/>
        </w:tabs>
        <w:spacing w:line="377" w:lineRule="auto"/>
      </w:pPr>
      <w:r>
        <w:rPr>
          <w:rStyle w:val="Bodytext1"/>
          <w:i/>
          <w:iCs/>
        </w:rPr>
        <w:t>zezwolenia na pobyt czasowy,</w:t>
      </w:r>
    </w:p>
    <w:p w:rsidR="0042225C" w:rsidRPr="0042225C" w:rsidRDefault="001F0DB4">
      <w:pPr>
        <w:pStyle w:val="Bodytext10"/>
        <w:numPr>
          <w:ilvl w:val="0"/>
          <w:numId w:val="1"/>
        </w:numPr>
        <w:tabs>
          <w:tab w:val="left" w:pos="322"/>
        </w:tabs>
        <w:spacing w:line="377" w:lineRule="auto"/>
        <w:rPr>
          <w:rStyle w:val="Bodytext1"/>
        </w:rPr>
      </w:pPr>
      <w:r>
        <w:rPr>
          <w:rStyle w:val="Bodytext1"/>
          <w:i/>
          <w:iCs/>
        </w:rPr>
        <w:t xml:space="preserve">zezwolenia na pobyt stały, </w:t>
      </w:r>
    </w:p>
    <w:p w:rsidR="0042225C" w:rsidRPr="0042225C" w:rsidRDefault="001F0DB4">
      <w:pPr>
        <w:pStyle w:val="Bodytext10"/>
        <w:numPr>
          <w:ilvl w:val="0"/>
          <w:numId w:val="1"/>
        </w:numPr>
        <w:tabs>
          <w:tab w:val="left" w:pos="322"/>
        </w:tabs>
        <w:spacing w:line="377" w:lineRule="auto"/>
        <w:rPr>
          <w:rStyle w:val="Bodytext1"/>
        </w:rPr>
      </w:pPr>
      <w:r>
        <w:rPr>
          <w:rStyle w:val="Bodytext1"/>
          <w:i/>
          <w:iCs/>
        </w:rPr>
        <w:t xml:space="preserve">zezwolenia na pobyt rezydenta długoterminowego Unii Europejskiej, </w:t>
      </w:r>
    </w:p>
    <w:p w:rsidR="00906D5B" w:rsidRDefault="001F0DB4" w:rsidP="0042225C">
      <w:pPr>
        <w:pStyle w:val="Bodytext10"/>
        <w:tabs>
          <w:tab w:val="left" w:pos="322"/>
        </w:tabs>
        <w:spacing w:line="377" w:lineRule="auto"/>
      </w:pPr>
      <w:r>
        <w:rPr>
          <w:rStyle w:val="Bodytext1"/>
          <w:i/>
          <w:iCs/>
        </w:rPr>
        <w:t>2) zmiany:</w:t>
      </w:r>
    </w:p>
    <w:p w:rsidR="00906D5B" w:rsidRDefault="001F0DB4">
      <w:pPr>
        <w:pStyle w:val="Bodytext10"/>
        <w:numPr>
          <w:ilvl w:val="0"/>
          <w:numId w:val="2"/>
        </w:numPr>
        <w:tabs>
          <w:tab w:val="left" w:pos="313"/>
        </w:tabs>
        <w:spacing w:line="379" w:lineRule="auto"/>
      </w:pPr>
      <w:r>
        <w:rPr>
          <w:rStyle w:val="Bodytext1"/>
          <w:i/>
          <w:iCs/>
        </w:rPr>
        <w:t>zezwolenia na pobyt czasowy i pracę,</w:t>
      </w:r>
    </w:p>
    <w:p w:rsidR="00906D5B" w:rsidRDefault="001F0DB4">
      <w:pPr>
        <w:pStyle w:val="Bodytext10"/>
        <w:numPr>
          <w:ilvl w:val="0"/>
          <w:numId w:val="2"/>
        </w:numPr>
        <w:tabs>
          <w:tab w:val="left" w:pos="313"/>
        </w:tabs>
        <w:spacing w:after="380" w:line="379" w:lineRule="auto"/>
      </w:pPr>
      <w:r>
        <w:rPr>
          <w:rStyle w:val="Bodytext1"/>
          <w:i/>
          <w:iCs/>
        </w:rPr>
        <w:t>zezwolenia na pobyt czasowy w celu wykonywania pracy</w:t>
      </w:r>
      <w:r>
        <w:rPr>
          <w:rStyle w:val="Bodytext1"/>
        </w:rPr>
        <w:t xml:space="preserve"> w </w:t>
      </w:r>
      <w:r>
        <w:rPr>
          <w:rStyle w:val="Bodytext1"/>
          <w:i/>
          <w:iCs/>
        </w:rPr>
        <w:t>zawodzie wymagającym wysokich kwalifikacji,</w:t>
      </w:r>
      <w:r>
        <w:br w:type="page"/>
      </w:r>
    </w:p>
    <w:p w:rsidR="00906D5B" w:rsidRDefault="001F0DB4">
      <w:pPr>
        <w:pStyle w:val="Bodytext10"/>
        <w:numPr>
          <w:ilvl w:val="0"/>
          <w:numId w:val="3"/>
        </w:numPr>
        <w:tabs>
          <w:tab w:val="left" w:pos="312"/>
        </w:tabs>
        <w:spacing w:line="396" w:lineRule="auto"/>
      </w:pPr>
      <w:r>
        <w:rPr>
          <w:rStyle w:val="Bodytext1"/>
          <w:i/>
          <w:iCs/>
        </w:rPr>
        <w:lastRenderedPageBreak/>
        <w:t>cofnięcia cudzoziemcowi:</w:t>
      </w:r>
    </w:p>
    <w:p w:rsidR="00DE4889" w:rsidRDefault="001F0DB4" w:rsidP="00DE4889">
      <w:pPr>
        <w:pStyle w:val="Bodytext10"/>
        <w:spacing w:line="396" w:lineRule="auto"/>
        <w:rPr>
          <w:rStyle w:val="Bodytext1"/>
          <w:i/>
          <w:iCs/>
        </w:rPr>
      </w:pPr>
      <w:r>
        <w:rPr>
          <w:rStyle w:val="Bodytext1"/>
          <w:i/>
          <w:iCs/>
        </w:rPr>
        <w:t>a) zezwolenia na pobyt c</w:t>
      </w:r>
      <w:r w:rsidR="00DE4889">
        <w:rPr>
          <w:rStyle w:val="Bodytext1"/>
          <w:i/>
          <w:iCs/>
        </w:rPr>
        <w:t>z</w:t>
      </w:r>
      <w:r>
        <w:rPr>
          <w:rStyle w:val="Bodytext1"/>
          <w:i/>
          <w:iCs/>
        </w:rPr>
        <w:t>asowy</w:t>
      </w:r>
      <w:r w:rsidR="00DE4889">
        <w:rPr>
          <w:rStyle w:val="Bodytext1"/>
          <w:i/>
          <w:iCs/>
        </w:rPr>
        <w:t>,</w:t>
      </w:r>
    </w:p>
    <w:p w:rsidR="00DE4889" w:rsidRDefault="0042225C" w:rsidP="00DE4889">
      <w:pPr>
        <w:pStyle w:val="Bodytext10"/>
        <w:spacing w:line="396" w:lineRule="auto"/>
        <w:rPr>
          <w:rStyle w:val="Bodytext1"/>
          <w:i/>
          <w:iCs/>
        </w:rPr>
      </w:pPr>
      <w:r>
        <w:rPr>
          <w:rStyle w:val="Bodytext1"/>
          <w:i/>
          <w:iCs/>
        </w:rPr>
        <w:t>b) zezwolenia na pobyt stały,</w:t>
      </w:r>
    </w:p>
    <w:p w:rsidR="00DE4889" w:rsidRDefault="001F0DB4" w:rsidP="00DE4889">
      <w:pPr>
        <w:pStyle w:val="Bodytext10"/>
        <w:spacing w:line="396" w:lineRule="auto"/>
        <w:rPr>
          <w:rStyle w:val="Bodytext1"/>
          <w:i/>
          <w:iCs/>
        </w:rPr>
      </w:pPr>
      <w:r>
        <w:rPr>
          <w:rStyle w:val="Bodytext1"/>
          <w:i/>
          <w:iCs/>
        </w:rPr>
        <w:t xml:space="preserve">c) zezwolenia na pobyt rezydenta długoterminowego Unii Europejskiej </w:t>
      </w:r>
    </w:p>
    <w:p w:rsidR="00906D5B" w:rsidRDefault="001F0DB4" w:rsidP="00DE4889">
      <w:pPr>
        <w:pStyle w:val="Bodytext10"/>
        <w:spacing w:line="396" w:lineRule="auto"/>
      </w:pPr>
      <w:r>
        <w:rPr>
          <w:rStyle w:val="Bodytext1"/>
          <w:i/>
          <w:iCs/>
        </w:rPr>
        <w:t xml:space="preserve">- w postępowaniach prowadzonych przez wojewodę nie </w:t>
      </w:r>
      <w:r w:rsidR="0058671E">
        <w:rPr>
          <w:rStyle w:val="Bodytext1"/>
          <w:i/>
          <w:iCs/>
        </w:rPr>
        <w:t>ro</w:t>
      </w:r>
      <w:r>
        <w:rPr>
          <w:rStyle w:val="Bodytext1"/>
          <w:i/>
          <w:iCs/>
        </w:rPr>
        <w:t>zpoczyna się, a rozpoczęty ulega zawieszeniu na ten okres.</w:t>
      </w:r>
    </w:p>
    <w:p w:rsidR="00906D5B" w:rsidRPr="0058671E" w:rsidRDefault="001F0DB4">
      <w:pPr>
        <w:pStyle w:val="Bodytext10"/>
        <w:numPr>
          <w:ilvl w:val="0"/>
          <w:numId w:val="4"/>
        </w:numPr>
        <w:tabs>
          <w:tab w:val="left" w:pos="293"/>
        </w:tabs>
        <w:spacing w:line="384" w:lineRule="auto"/>
        <w:rPr>
          <w:rStyle w:val="Bodytext1"/>
          <w:i/>
          <w:iCs/>
        </w:rPr>
      </w:pPr>
      <w:r>
        <w:rPr>
          <w:rStyle w:val="Bodytext1"/>
          <w:i/>
          <w:iCs/>
        </w:rPr>
        <w:t>Czynności dokonane w okresie, o którym mowa</w:t>
      </w:r>
      <w:r w:rsidRPr="0058671E">
        <w:rPr>
          <w:rStyle w:val="Bodytext1"/>
          <w:i/>
          <w:iCs/>
        </w:rPr>
        <w:t xml:space="preserve"> w </w:t>
      </w:r>
      <w:r>
        <w:rPr>
          <w:rStyle w:val="Bodytext1"/>
          <w:i/>
          <w:iCs/>
        </w:rPr>
        <w:t>ust. 1,</w:t>
      </w:r>
      <w:r w:rsidRPr="0058671E">
        <w:rPr>
          <w:rStyle w:val="Bodytext1"/>
          <w:i/>
          <w:iCs/>
        </w:rPr>
        <w:t xml:space="preserve"> w </w:t>
      </w:r>
      <w:r>
        <w:rPr>
          <w:rStyle w:val="Bodytext1"/>
          <w:i/>
          <w:iCs/>
        </w:rPr>
        <w:t>postępowaniach w sprawach, o których mowa</w:t>
      </w:r>
      <w:r w:rsidRPr="0058671E">
        <w:rPr>
          <w:rStyle w:val="Bodytext1"/>
          <w:i/>
          <w:iCs/>
        </w:rPr>
        <w:t xml:space="preserve"> w </w:t>
      </w:r>
      <w:r>
        <w:rPr>
          <w:rStyle w:val="Bodytext1"/>
          <w:i/>
          <w:iCs/>
        </w:rPr>
        <w:t>ust. 1, s</w:t>
      </w:r>
      <w:r w:rsidR="0058671E">
        <w:rPr>
          <w:rStyle w:val="Bodytext1"/>
          <w:i/>
          <w:iCs/>
        </w:rPr>
        <w:t>ą</w:t>
      </w:r>
      <w:r>
        <w:rPr>
          <w:rStyle w:val="Bodytext1"/>
          <w:i/>
          <w:iCs/>
        </w:rPr>
        <w:t xml:space="preserve"> skuteczne.</w:t>
      </w:r>
    </w:p>
    <w:p w:rsidR="00906D5B" w:rsidRDefault="001F0DB4">
      <w:pPr>
        <w:pStyle w:val="Bodytext10"/>
        <w:numPr>
          <w:ilvl w:val="0"/>
          <w:numId w:val="4"/>
        </w:numPr>
        <w:tabs>
          <w:tab w:val="left" w:pos="293"/>
        </w:tabs>
        <w:spacing w:line="384" w:lineRule="auto"/>
      </w:pPr>
      <w:r>
        <w:rPr>
          <w:rStyle w:val="Bodytext1"/>
          <w:i/>
          <w:iCs/>
        </w:rPr>
        <w:t>W okresie, o którym mowa</w:t>
      </w:r>
      <w:r w:rsidRPr="0058671E">
        <w:rPr>
          <w:rStyle w:val="Bodytext1"/>
          <w:i/>
          <w:iCs/>
        </w:rPr>
        <w:t xml:space="preserve"> w </w:t>
      </w:r>
      <w:r>
        <w:rPr>
          <w:rStyle w:val="Bodytext1"/>
          <w:i/>
          <w:iCs/>
        </w:rPr>
        <w:t>ust. 1:</w:t>
      </w:r>
    </w:p>
    <w:p w:rsidR="00906D5B" w:rsidRDefault="001F0DB4">
      <w:pPr>
        <w:pStyle w:val="Bodytext10"/>
        <w:numPr>
          <w:ilvl w:val="0"/>
          <w:numId w:val="5"/>
        </w:numPr>
        <w:tabs>
          <w:tab w:val="left" w:pos="331"/>
        </w:tabs>
        <w:spacing w:line="384" w:lineRule="auto"/>
      </w:pPr>
      <w:r>
        <w:rPr>
          <w:rStyle w:val="Bodytext1"/>
          <w:i/>
          <w:iCs/>
        </w:rPr>
        <w:t>przepisów o bezczynności organu oraz o obowiązku organu prowadzącego postępowanie w</w:t>
      </w:r>
      <w:r w:rsidR="0042225C">
        <w:rPr>
          <w:rStyle w:val="Bodytext1"/>
          <w:i/>
          <w:iCs/>
        </w:rPr>
        <w:t> </w:t>
      </w:r>
      <w:r>
        <w:rPr>
          <w:rStyle w:val="Bodytext1"/>
          <w:i/>
          <w:iCs/>
        </w:rPr>
        <w:t>sprawach, o których mowa w ust. 1, do powiadamiania strony lub uczestnika postępowania o</w:t>
      </w:r>
      <w:r w:rsidR="0042225C">
        <w:rPr>
          <w:rStyle w:val="Bodytext1"/>
          <w:i/>
          <w:iCs/>
        </w:rPr>
        <w:t> </w:t>
      </w:r>
      <w:r w:rsidR="0042225C" w:rsidRPr="0042225C">
        <w:rPr>
          <w:rStyle w:val="Bodytext1"/>
          <w:i/>
          <w:iCs/>
        </w:rPr>
        <w:t>niezałatwieniu</w:t>
      </w:r>
      <w:r w:rsidRPr="0042225C">
        <w:rPr>
          <w:rStyle w:val="Bodytext1"/>
          <w:i/>
          <w:iCs/>
        </w:rPr>
        <w:t xml:space="preserve"> sprawy</w:t>
      </w:r>
      <w:r w:rsidRPr="0042225C">
        <w:rPr>
          <w:rStyle w:val="Bodytext1"/>
          <w:b/>
          <w:bCs/>
          <w:i/>
        </w:rPr>
        <w:t xml:space="preserve"> </w:t>
      </w:r>
      <w:r w:rsidRPr="0042225C">
        <w:rPr>
          <w:rStyle w:val="Bodytext1"/>
          <w:bCs/>
          <w:i/>
        </w:rPr>
        <w:t>w</w:t>
      </w:r>
      <w:r w:rsidRPr="0042225C">
        <w:rPr>
          <w:rStyle w:val="Bodytext1"/>
          <w:b/>
          <w:bCs/>
          <w:i/>
        </w:rPr>
        <w:t xml:space="preserve"> </w:t>
      </w:r>
      <w:r w:rsidRPr="0042225C">
        <w:rPr>
          <w:rStyle w:val="Bodytext1"/>
          <w:i/>
          <w:iCs/>
        </w:rPr>
        <w:t>terminie</w:t>
      </w:r>
      <w:r>
        <w:rPr>
          <w:rStyle w:val="Bodytext1"/>
          <w:i/>
          <w:iCs/>
        </w:rPr>
        <w:t xml:space="preserve"> nie stosuje się;</w:t>
      </w:r>
    </w:p>
    <w:p w:rsidR="00906D5B" w:rsidRDefault="001F0DB4">
      <w:pPr>
        <w:pStyle w:val="Bodytext10"/>
        <w:numPr>
          <w:ilvl w:val="0"/>
          <w:numId w:val="5"/>
        </w:numPr>
        <w:tabs>
          <w:tab w:val="left" w:pos="321"/>
        </w:tabs>
        <w:spacing w:line="384" w:lineRule="auto"/>
      </w:pPr>
      <w:r>
        <w:rPr>
          <w:rStyle w:val="Bodytext1"/>
          <w:i/>
          <w:iCs/>
        </w:rPr>
        <w:t>organowi prowadzącemu postępowanie</w:t>
      </w:r>
      <w:r>
        <w:rPr>
          <w:rStyle w:val="Bodytext1"/>
          <w:b/>
          <w:bCs/>
        </w:rPr>
        <w:t xml:space="preserve"> </w:t>
      </w:r>
      <w:r w:rsidRPr="0042225C">
        <w:rPr>
          <w:rStyle w:val="Bodytext1"/>
          <w:bCs/>
          <w:i/>
        </w:rPr>
        <w:t>w</w:t>
      </w:r>
      <w:r>
        <w:rPr>
          <w:rStyle w:val="Bodytext1"/>
          <w:b/>
          <w:bCs/>
        </w:rPr>
        <w:t xml:space="preserve"> </w:t>
      </w:r>
      <w:r>
        <w:rPr>
          <w:rStyle w:val="Bodytext1"/>
          <w:i/>
          <w:iCs/>
        </w:rPr>
        <w:t>sprawach, o których mowa w ust. 1, nie wymierza się grzywny ani nie zasądza się od niego sum pieniężnych na rzecz skarżących za niewydanie rozstrzygnięć w terminach określonych przepisami prawa.</w:t>
      </w:r>
    </w:p>
    <w:p w:rsidR="00906D5B" w:rsidRDefault="001F0DB4">
      <w:pPr>
        <w:pStyle w:val="Bodytext10"/>
        <w:numPr>
          <w:ilvl w:val="0"/>
          <w:numId w:val="4"/>
        </w:numPr>
        <w:tabs>
          <w:tab w:val="left" w:pos="293"/>
        </w:tabs>
        <w:spacing w:after="400" w:line="384" w:lineRule="auto"/>
      </w:pPr>
      <w:r>
        <w:rPr>
          <w:rStyle w:val="Bodytext1"/>
          <w:i/>
          <w:iCs/>
        </w:rPr>
        <w:t>Zaprzestanie czynności przez organ prowadzący postępowanie</w:t>
      </w:r>
      <w:r>
        <w:rPr>
          <w:rStyle w:val="Bodytext1"/>
          <w:b/>
          <w:bCs/>
        </w:rPr>
        <w:t xml:space="preserve"> </w:t>
      </w:r>
      <w:r w:rsidRPr="0042225C">
        <w:rPr>
          <w:rStyle w:val="Bodytext1"/>
          <w:bCs/>
          <w:i/>
        </w:rPr>
        <w:t>w</w:t>
      </w:r>
      <w:r>
        <w:rPr>
          <w:rStyle w:val="Bodytext1"/>
          <w:b/>
          <w:bCs/>
        </w:rPr>
        <w:t xml:space="preserve"> </w:t>
      </w:r>
      <w:r>
        <w:rPr>
          <w:rStyle w:val="Bodytext1"/>
          <w:i/>
          <w:iCs/>
        </w:rPr>
        <w:t>sprawach, o których mowa w ust. 1, lub ich dokonywanie z opóźnieniem,</w:t>
      </w:r>
      <w:r>
        <w:rPr>
          <w:rStyle w:val="Bodytext1"/>
          <w:b/>
          <w:bCs/>
        </w:rPr>
        <w:t xml:space="preserve"> </w:t>
      </w:r>
      <w:r w:rsidR="0042225C" w:rsidRPr="0042225C">
        <w:rPr>
          <w:rStyle w:val="Bodytext1"/>
          <w:bCs/>
          <w:i/>
        </w:rPr>
        <w:t>w</w:t>
      </w:r>
      <w:r>
        <w:rPr>
          <w:rStyle w:val="Bodytext1"/>
          <w:b/>
          <w:bCs/>
        </w:rPr>
        <w:t xml:space="preserve"> </w:t>
      </w:r>
      <w:r>
        <w:rPr>
          <w:rStyle w:val="Bodytext1"/>
          <w:i/>
          <w:iCs/>
        </w:rPr>
        <w:t>okresie, o którym mowa w ust. 1, nie może być podstawą wywodzenia środków prawnych dotyczących bezczynności, przewlekłości lub naruszenia prawa strony do rozpoznania sprawy bez zbędnej zwłoki.</w:t>
      </w:r>
    </w:p>
    <w:p w:rsidR="00906D5B" w:rsidRPr="00571EBE" w:rsidRDefault="001F0DB4">
      <w:pPr>
        <w:pStyle w:val="Bodytext10"/>
        <w:spacing w:line="396" w:lineRule="auto"/>
      </w:pPr>
      <w:r w:rsidRPr="00571EBE">
        <w:rPr>
          <w:rStyle w:val="Bodytext1"/>
        </w:rPr>
        <w:t xml:space="preserve">Zostaliśmy poinformowani, że mimo iż tytuł ustawy sugeruje pomoc obywatelom Ukrainy, zapis powyższych dwóch punktów można rozwiązać poprzez zastosowanie wykładni językowej oraz systemowej i przez to zastosować te zasady do </w:t>
      </w:r>
      <w:r w:rsidRPr="00571EBE">
        <w:rPr>
          <w:rStyle w:val="Bodytext1"/>
          <w:b/>
          <w:bCs/>
        </w:rPr>
        <w:t xml:space="preserve">wszystkich grup obcokrajowców. </w:t>
      </w:r>
      <w:r w:rsidRPr="00571EBE">
        <w:rPr>
          <w:rStyle w:val="Bodytext1"/>
        </w:rPr>
        <w:t>Skutkiem tego jest fakt, że urzędy nagminnie przestały odnosić się do załatwienia sprawy w ciągu ustawowych 60 dni, a</w:t>
      </w:r>
      <w:r w:rsidR="00372B82">
        <w:rPr>
          <w:rStyle w:val="Bodytext1"/>
        </w:rPr>
        <w:t> </w:t>
      </w:r>
      <w:r w:rsidRPr="00571EBE">
        <w:rPr>
          <w:rStyle w:val="Bodytext1"/>
        </w:rPr>
        <w:t xml:space="preserve">infolinia urzędu w Opolu mówi o średnim czasie </w:t>
      </w:r>
      <w:r w:rsidRPr="00571EBE">
        <w:rPr>
          <w:rStyle w:val="Bodytext1"/>
          <w:b/>
          <w:bCs/>
        </w:rPr>
        <w:t xml:space="preserve">12 miesięcy. </w:t>
      </w:r>
      <w:r w:rsidRPr="00571EBE">
        <w:rPr>
          <w:rStyle w:val="Bodytext1"/>
        </w:rPr>
        <w:t xml:space="preserve">Dzwoniąc na infolinię Straży Granicznej uzyskujemy informację, że taka praktyka jest </w:t>
      </w:r>
      <w:r w:rsidRPr="00571EBE">
        <w:rPr>
          <w:rStyle w:val="Bodytext1"/>
          <w:b/>
          <w:bCs/>
        </w:rPr>
        <w:t xml:space="preserve">niezgodna z konstytucją. </w:t>
      </w:r>
      <w:r w:rsidRPr="00571EBE">
        <w:rPr>
          <w:rStyle w:val="Bodytext1"/>
        </w:rPr>
        <w:t>Owe rozwiązanie (nie wydawanie kart pobytu w terminie) zostało wprowadzone ze względu na przypływ osób z</w:t>
      </w:r>
      <w:r w:rsidR="00372B82">
        <w:rPr>
          <w:rStyle w:val="Bodytext1"/>
        </w:rPr>
        <w:t> </w:t>
      </w:r>
      <w:r w:rsidRPr="00571EBE">
        <w:rPr>
          <w:rStyle w:val="Bodytext1"/>
        </w:rPr>
        <w:t>Ukrainy, ale w jego miejsce w tejże ustawie zaproponowano inną procedurę.</w:t>
      </w:r>
    </w:p>
    <w:p w:rsidR="00906D5B" w:rsidRPr="00571EBE" w:rsidRDefault="001F0DB4">
      <w:pPr>
        <w:pStyle w:val="Bodytext10"/>
        <w:spacing w:line="403" w:lineRule="auto"/>
      </w:pPr>
      <w:r w:rsidRPr="00571EBE">
        <w:rPr>
          <w:rStyle w:val="Bodytext1"/>
        </w:rPr>
        <w:t xml:space="preserve">Jak sugeruje sam tytuł ustawy - </w:t>
      </w:r>
      <w:r w:rsidRPr="00571EBE">
        <w:rPr>
          <w:rStyle w:val="Bodytext1"/>
          <w:i/>
          <w:iCs/>
        </w:rPr>
        <w:t xml:space="preserve">Dz.U.2024.167 t.j - USTAWA z dnia 12 marca 2022 r. o pomocy obywatelom Ukrainy w związku z konfliktem zbrojnym na terytorium tego państwa, </w:t>
      </w:r>
      <w:r w:rsidRPr="00571EBE">
        <w:rPr>
          <w:rStyle w:val="Bodytext1"/>
          <w:b/>
          <w:bCs/>
        </w:rPr>
        <w:t>mowa tutaj o</w:t>
      </w:r>
      <w:r w:rsidR="00571EBE">
        <w:rPr>
          <w:rStyle w:val="Bodytext1"/>
          <w:b/>
          <w:bCs/>
        </w:rPr>
        <w:t> </w:t>
      </w:r>
      <w:r w:rsidRPr="00571EBE">
        <w:rPr>
          <w:rStyle w:val="Bodytext1"/>
          <w:b/>
          <w:bCs/>
        </w:rPr>
        <w:t>obywatelach Ukrainy.</w:t>
      </w:r>
    </w:p>
    <w:p w:rsidR="00906D5B" w:rsidRDefault="001F0DB4">
      <w:pPr>
        <w:pStyle w:val="Bodytext10"/>
      </w:pPr>
      <w:r>
        <w:rPr>
          <w:rStyle w:val="Bodytext1"/>
        </w:rPr>
        <w:t>Potwierdza to również:</w:t>
      </w:r>
      <w:r>
        <w:br w:type="page"/>
      </w:r>
    </w:p>
    <w:p w:rsidR="00906D5B" w:rsidRDefault="001F0DB4">
      <w:pPr>
        <w:pStyle w:val="Bodytext10"/>
        <w:spacing w:line="398" w:lineRule="auto"/>
      </w:pPr>
      <w:r>
        <w:rPr>
          <w:rStyle w:val="Bodytext1"/>
          <w:i/>
          <w:iCs/>
        </w:rPr>
        <w:lastRenderedPageBreak/>
        <w:t>Artykuł 1 - przedmiot regulacji.</w:t>
      </w:r>
    </w:p>
    <w:p w:rsidR="00906D5B" w:rsidRDefault="001F0DB4">
      <w:pPr>
        <w:pStyle w:val="Bodytext10"/>
        <w:spacing w:line="398" w:lineRule="auto"/>
      </w:pPr>
      <w:r>
        <w:rPr>
          <w:rStyle w:val="Bodytext1"/>
          <w:i/>
          <w:iCs/>
        </w:rPr>
        <w:t>Ustawa określa szczególne zasady zalegalizowania pobytu obywateli Ukrainy, którzy</w:t>
      </w:r>
      <w:r w:rsidR="00372B82">
        <w:rPr>
          <w:rStyle w:val="Bodytext1"/>
          <w:i/>
          <w:iCs/>
        </w:rPr>
        <w:t xml:space="preserve"> przybyli</w:t>
      </w:r>
      <w:r>
        <w:rPr>
          <w:rStyle w:val="Bodytext1"/>
          <w:i/>
          <w:iCs/>
          <w:lang w:val="en-US" w:eastAsia="en-US" w:bidi="en-US"/>
        </w:rPr>
        <w:t xml:space="preserve"> </w:t>
      </w:r>
      <w:r>
        <w:rPr>
          <w:rStyle w:val="Bodytext1"/>
          <w:i/>
          <w:iCs/>
        </w:rPr>
        <w:t>na</w:t>
      </w:r>
      <w:r w:rsidR="00571EBE">
        <w:rPr>
          <w:rStyle w:val="Bodytext1"/>
          <w:i/>
          <w:iCs/>
        </w:rPr>
        <w:t> </w:t>
      </w:r>
      <w:r>
        <w:rPr>
          <w:rStyle w:val="Bodytext1"/>
          <w:i/>
          <w:iCs/>
        </w:rPr>
        <w:t xml:space="preserve">terytorium Rzeczypospolitej Polskiej z terytorium Ukrainy w związku z </w:t>
      </w:r>
      <w:r w:rsidR="00372B82">
        <w:rPr>
          <w:rStyle w:val="Bodytext1"/>
          <w:i/>
          <w:iCs/>
        </w:rPr>
        <w:t xml:space="preserve">działaniami wojennymi </w:t>
      </w:r>
      <w:r>
        <w:rPr>
          <w:rStyle w:val="Bodytext1"/>
          <w:i/>
          <w:iCs/>
        </w:rPr>
        <w:t>prowadzonymi na terytorium tego państwa, oraz obywateli Ukrainy posiadających Kartę Polaka, którzy wraz z najbliższą rodziną z powodu tych działań wojennych przybyli na terytorium Rzeczypospolitej Polskiej.</w:t>
      </w:r>
    </w:p>
    <w:p w:rsidR="00906D5B" w:rsidRDefault="001F0DB4">
      <w:pPr>
        <w:pStyle w:val="Bodytext10"/>
        <w:spacing w:line="398" w:lineRule="auto"/>
      </w:pPr>
      <w:r>
        <w:rPr>
          <w:rStyle w:val="Bodytext1"/>
          <w:i/>
          <w:iCs/>
        </w:rPr>
        <w:t>2. ‘ Ilekroć</w:t>
      </w:r>
      <w:r>
        <w:rPr>
          <w:rStyle w:val="Bodytext1"/>
          <w:b/>
          <w:bCs/>
        </w:rPr>
        <w:t xml:space="preserve"> </w:t>
      </w:r>
      <w:r w:rsidR="0042225C" w:rsidRPr="0042225C">
        <w:rPr>
          <w:rStyle w:val="Bodytext1"/>
          <w:b/>
          <w:bCs/>
          <w:i/>
        </w:rPr>
        <w:t>w</w:t>
      </w:r>
      <w:r>
        <w:rPr>
          <w:rStyle w:val="Bodytext1"/>
          <w:b/>
          <w:bCs/>
        </w:rPr>
        <w:t xml:space="preserve"> </w:t>
      </w:r>
      <w:r>
        <w:rPr>
          <w:rStyle w:val="Bodytext1"/>
          <w:i/>
          <w:iCs/>
        </w:rPr>
        <w:t>ustawie jest mowa o obywatelu Ukrainy, rozumie się przez to także nieposiadających obywatelstwa ukraińskiego:</w:t>
      </w:r>
    </w:p>
    <w:p w:rsidR="00906D5B" w:rsidRDefault="001F0DB4">
      <w:pPr>
        <w:pStyle w:val="Bodytext10"/>
        <w:numPr>
          <w:ilvl w:val="0"/>
          <w:numId w:val="6"/>
        </w:numPr>
        <w:tabs>
          <w:tab w:val="left" w:pos="327"/>
        </w:tabs>
        <w:spacing w:line="398" w:lineRule="auto"/>
      </w:pPr>
      <w:r>
        <w:rPr>
          <w:rStyle w:val="Bodytext1"/>
          <w:i/>
          <w:iCs/>
        </w:rPr>
        <w:t>małżonka obywatela Ukrainy,</w:t>
      </w:r>
    </w:p>
    <w:p w:rsidR="00906D5B" w:rsidRDefault="001F0DB4">
      <w:pPr>
        <w:pStyle w:val="Bodytext10"/>
        <w:numPr>
          <w:ilvl w:val="0"/>
          <w:numId w:val="6"/>
        </w:numPr>
        <w:tabs>
          <w:tab w:val="left" w:pos="337"/>
        </w:tabs>
        <w:spacing w:line="398" w:lineRule="auto"/>
      </w:pPr>
      <w:r>
        <w:rPr>
          <w:rStyle w:val="Bodytext1"/>
          <w:i/>
          <w:iCs/>
        </w:rPr>
        <w:t>małoletnie dziecko obywatela Ukrainy,</w:t>
      </w:r>
    </w:p>
    <w:p w:rsidR="00906D5B" w:rsidRDefault="001F0DB4">
      <w:pPr>
        <w:pStyle w:val="Bodytext10"/>
        <w:numPr>
          <w:ilvl w:val="0"/>
          <w:numId w:val="6"/>
        </w:numPr>
        <w:tabs>
          <w:tab w:val="left" w:pos="337"/>
        </w:tabs>
        <w:spacing w:line="398" w:lineRule="auto"/>
      </w:pPr>
      <w:r>
        <w:rPr>
          <w:rStyle w:val="Bodytext1"/>
          <w:i/>
          <w:iCs/>
        </w:rPr>
        <w:t>małoletnie dziecko małżonka obywatela Ukrainy</w:t>
      </w:r>
    </w:p>
    <w:p w:rsidR="00906D5B" w:rsidRDefault="001F0DB4">
      <w:pPr>
        <w:pStyle w:val="Bodytext10"/>
        <w:spacing w:line="398" w:lineRule="auto"/>
      </w:pPr>
      <w:r>
        <w:rPr>
          <w:rStyle w:val="Bodytext1"/>
          <w:i/>
          <w:iCs/>
        </w:rPr>
        <w:t>- o ile przybyli oni na terytorium Rzeczypospolitej Polskiej z terytorium Ukrainy w związku z</w:t>
      </w:r>
      <w:r w:rsidR="00372B82">
        <w:rPr>
          <w:rStyle w:val="Bodytext1"/>
          <w:i/>
          <w:iCs/>
        </w:rPr>
        <w:t> </w:t>
      </w:r>
      <w:r>
        <w:rPr>
          <w:rStyle w:val="Bodytext1"/>
          <w:i/>
          <w:iCs/>
        </w:rPr>
        <w:t>działaniami wojennymi prowadzonymi na terytorium tego państwa i nie są obywatelami polskimi ani obywatelami innych niż Rzeczpospolita Polska państw członkowskich Unii Europejskiej.</w:t>
      </w:r>
    </w:p>
    <w:p w:rsidR="00906D5B" w:rsidRDefault="001F0DB4">
      <w:pPr>
        <w:pStyle w:val="Bodytext10"/>
        <w:numPr>
          <w:ilvl w:val="0"/>
          <w:numId w:val="7"/>
        </w:numPr>
        <w:tabs>
          <w:tab w:val="left" w:pos="308"/>
        </w:tabs>
        <w:spacing w:line="394" w:lineRule="auto"/>
      </w:pPr>
      <w:r>
        <w:rPr>
          <w:rStyle w:val="Bodytext1"/>
          <w:i/>
          <w:iCs/>
        </w:rPr>
        <w:t>Ustawa określa również:</w:t>
      </w:r>
    </w:p>
    <w:p w:rsidR="00906D5B" w:rsidRDefault="001F0DB4">
      <w:pPr>
        <w:pStyle w:val="Bodytext10"/>
        <w:numPr>
          <w:ilvl w:val="0"/>
          <w:numId w:val="8"/>
        </w:numPr>
        <w:tabs>
          <w:tab w:val="left" w:pos="347"/>
        </w:tabs>
        <w:spacing w:line="394" w:lineRule="auto"/>
      </w:pPr>
      <w:r>
        <w:rPr>
          <w:rStyle w:val="Bodytext1"/>
          <w:i/>
          <w:iCs/>
        </w:rPr>
        <w:t xml:space="preserve">szczególne zasady powierzenia pracy obywatelom </w:t>
      </w:r>
      <w:r w:rsidRPr="00571EBE">
        <w:rPr>
          <w:rStyle w:val="Bodytext1"/>
          <w:b/>
          <w:i/>
          <w:iCs/>
        </w:rPr>
        <w:t>Ukrainy</w:t>
      </w:r>
      <w:r>
        <w:rPr>
          <w:rStyle w:val="Bodytext1"/>
          <w:i/>
          <w:iCs/>
        </w:rPr>
        <w:t>, przebywającym legalnie na terytorium Rzeczypospolitej Polskiej;</w:t>
      </w:r>
    </w:p>
    <w:p w:rsidR="00906D5B" w:rsidRDefault="001F0DB4">
      <w:pPr>
        <w:pStyle w:val="Bodytext10"/>
        <w:numPr>
          <w:ilvl w:val="0"/>
          <w:numId w:val="8"/>
        </w:numPr>
        <w:tabs>
          <w:tab w:val="left" w:pos="366"/>
        </w:tabs>
        <w:spacing w:line="394" w:lineRule="auto"/>
      </w:pPr>
      <w:r>
        <w:rPr>
          <w:rStyle w:val="Bodytext1"/>
          <w:i/>
          <w:iCs/>
        </w:rPr>
        <w:t xml:space="preserve">pomoc zapewnianą przez wojewodów, jednostki samorządu terytorialnego oraz inne podmioty obywatelom </w:t>
      </w:r>
      <w:r w:rsidRPr="00571EBE">
        <w:rPr>
          <w:rStyle w:val="Bodytext1"/>
          <w:b/>
          <w:i/>
          <w:iCs/>
        </w:rPr>
        <w:t>Ukrainy</w:t>
      </w:r>
      <w:r>
        <w:rPr>
          <w:rStyle w:val="Bodytext1"/>
          <w:i/>
          <w:iCs/>
        </w:rPr>
        <w:t>;</w:t>
      </w:r>
    </w:p>
    <w:p w:rsidR="00906D5B" w:rsidRDefault="001F0DB4">
      <w:pPr>
        <w:pStyle w:val="Bodytext10"/>
        <w:numPr>
          <w:ilvl w:val="0"/>
          <w:numId w:val="8"/>
        </w:numPr>
        <w:tabs>
          <w:tab w:val="left" w:pos="347"/>
        </w:tabs>
        <w:spacing w:line="394" w:lineRule="auto"/>
      </w:pPr>
      <w:r>
        <w:rPr>
          <w:rStyle w:val="Bodytext1"/>
          <w:i/>
          <w:iCs/>
        </w:rPr>
        <w:t>utworzenie Funduszu Pomocy</w:t>
      </w:r>
      <w:r>
        <w:rPr>
          <w:rStyle w:val="Bodytext1"/>
          <w:b/>
          <w:bCs/>
        </w:rPr>
        <w:t xml:space="preserve"> </w:t>
      </w:r>
      <w:r w:rsidR="0042225C" w:rsidRPr="00571EBE">
        <w:rPr>
          <w:rStyle w:val="Bodytext1"/>
          <w:bCs/>
          <w:i/>
        </w:rPr>
        <w:t>w</w:t>
      </w:r>
      <w:r>
        <w:rPr>
          <w:rStyle w:val="Bodytext1"/>
          <w:b/>
          <w:bCs/>
        </w:rPr>
        <w:t xml:space="preserve"> </w:t>
      </w:r>
      <w:r>
        <w:rPr>
          <w:rStyle w:val="Bodytext1"/>
          <w:i/>
          <w:iCs/>
        </w:rPr>
        <w:t xml:space="preserve">celu finansowania lub dofinansowania realizacji zadań na rzecz pomocy obywatelom </w:t>
      </w:r>
      <w:r w:rsidRPr="00571EBE">
        <w:rPr>
          <w:rStyle w:val="Bodytext1"/>
          <w:b/>
          <w:i/>
          <w:iCs/>
        </w:rPr>
        <w:t>Ukrainy</w:t>
      </w:r>
      <w:r>
        <w:rPr>
          <w:rStyle w:val="Bodytext1"/>
          <w:i/>
          <w:iCs/>
        </w:rPr>
        <w:t>;</w:t>
      </w:r>
    </w:p>
    <w:p w:rsidR="00906D5B" w:rsidRDefault="001F0DB4">
      <w:pPr>
        <w:pStyle w:val="Bodytext10"/>
        <w:numPr>
          <w:ilvl w:val="0"/>
          <w:numId w:val="8"/>
        </w:numPr>
        <w:tabs>
          <w:tab w:val="left" w:pos="347"/>
        </w:tabs>
        <w:spacing w:line="394" w:lineRule="auto"/>
      </w:pPr>
      <w:r>
        <w:rPr>
          <w:rStyle w:val="Bodytext1"/>
          <w:i/>
          <w:iCs/>
        </w:rPr>
        <w:t xml:space="preserve">niektóre uprawnienia obywateli </w:t>
      </w:r>
      <w:r w:rsidRPr="00571EBE">
        <w:rPr>
          <w:rStyle w:val="Bodytext1"/>
          <w:b/>
          <w:i/>
          <w:iCs/>
        </w:rPr>
        <w:t>Ukrainy</w:t>
      </w:r>
      <w:r>
        <w:rPr>
          <w:rStyle w:val="Bodytext1"/>
          <w:i/>
          <w:iCs/>
        </w:rPr>
        <w:t>, których pobyt na terytorium Rzeczypospolitej Polskiej jest uznawany za legalny;</w:t>
      </w:r>
    </w:p>
    <w:p w:rsidR="00906D5B" w:rsidRDefault="001F0DB4">
      <w:pPr>
        <w:pStyle w:val="Bodytext10"/>
        <w:numPr>
          <w:ilvl w:val="0"/>
          <w:numId w:val="8"/>
        </w:numPr>
        <w:tabs>
          <w:tab w:val="left" w:pos="376"/>
        </w:tabs>
        <w:spacing w:line="394" w:lineRule="auto"/>
      </w:pPr>
      <w:r>
        <w:rPr>
          <w:rStyle w:val="Bodytext1"/>
          <w:i/>
          <w:iCs/>
        </w:rPr>
        <w:t xml:space="preserve">szczególne zasady przedłużania okresów legalnego pobytu obywateli </w:t>
      </w:r>
      <w:r w:rsidRPr="00571EBE">
        <w:rPr>
          <w:rStyle w:val="Bodytext1"/>
          <w:b/>
          <w:i/>
          <w:iCs/>
        </w:rPr>
        <w:t>Ukrainy</w:t>
      </w:r>
      <w:r>
        <w:rPr>
          <w:rStyle w:val="Bodytext1"/>
          <w:i/>
          <w:iCs/>
        </w:rPr>
        <w:t xml:space="preserve"> oraz wydanych im przez organy polskie dokumentów dotyczących uprawnień w zakresie wjazdu i pobytu na terytorium Rzeczypospolitej Polskiej;</w:t>
      </w:r>
    </w:p>
    <w:p w:rsidR="00906D5B" w:rsidRDefault="001F0DB4">
      <w:pPr>
        <w:pStyle w:val="Bodytext10"/>
        <w:numPr>
          <w:ilvl w:val="0"/>
          <w:numId w:val="8"/>
        </w:numPr>
        <w:tabs>
          <w:tab w:val="left" w:pos="347"/>
        </w:tabs>
        <w:spacing w:line="394" w:lineRule="auto"/>
      </w:pPr>
      <w:r>
        <w:rPr>
          <w:rStyle w:val="Bodytext1"/>
          <w:i/>
          <w:iCs/>
        </w:rPr>
        <w:t xml:space="preserve">niektóre uprawnienia obywateli polskich i obywateli </w:t>
      </w:r>
      <w:r w:rsidRPr="00571EBE">
        <w:rPr>
          <w:rStyle w:val="Bodytext1"/>
          <w:b/>
          <w:i/>
          <w:iCs/>
        </w:rPr>
        <w:t>Ukrainy</w:t>
      </w:r>
      <w:r>
        <w:rPr>
          <w:rStyle w:val="Bodytext1"/>
          <w:i/>
          <w:iCs/>
        </w:rPr>
        <w:t xml:space="preserve"> będących studentami, nauczycielami akademickimi lub pracownikami naukowymi wjeżdżającymi z terytorium Ukrainy;</w:t>
      </w:r>
    </w:p>
    <w:p w:rsidR="00906D5B" w:rsidRDefault="001F0DB4">
      <w:pPr>
        <w:pStyle w:val="Bodytext10"/>
        <w:numPr>
          <w:ilvl w:val="0"/>
          <w:numId w:val="8"/>
        </w:numPr>
        <w:tabs>
          <w:tab w:val="left" w:pos="356"/>
        </w:tabs>
        <w:spacing w:line="394" w:lineRule="auto"/>
      </w:pPr>
      <w:r>
        <w:rPr>
          <w:rStyle w:val="Bodytext1"/>
          <w:i/>
          <w:iCs/>
        </w:rPr>
        <w:t xml:space="preserve">szczególne regulacje dotyczące kształcenia, wychowania i opieki dzieci i uczniów będących obywatelami </w:t>
      </w:r>
      <w:r w:rsidRPr="00571EBE">
        <w:rPr>
          <w:rStyle w:val="Bodytext1"/>
          <w:b/>
          <w:i/>
          <w:iCs/>
        </w:rPr>
        <w:t>Ukrainy</w:t>
      </w:r>
      <w:r w:rsidRPr="0042225C">
        <w:rPr>
          <w:rStyle w:val="Bodytext1"/>
          <w:i/>
          <w:iCs/>
        </w:rPr>
        <w:t>,</w:t>
      </w:r>
      <w:r w:rsidRPr="0042225C">
        <w:rPr>
          <w:rStyle w:val="Bodytext1"/>
          <w:bCs/>
          <w:i/>
        </w:rPr>
        <w:t xml:space="preserve"> </w:t>
      </w:r>
      <w:r w:rsidR="0042225C" w:rsidRPr="0042225C">
        <w:rPr>
          <w:rStyle w:val="Bodytext1"/>
          <w:bCs/>
          <w:i/>
        </w:rPr>
        <w:t>w</w:t>
      </w:r>
      <w:r w:rsidRPr="0042225C">
        <w:rPr>
          <w:rStyle w:val="Bodytext1"/>
          <w:bCs/>
          <w:i/>
        </w:rPr>
        <w:t xml:space="preserve"> </w:t>
      </w:r>
      <w:r w:rsidRPr="0042225C">
        <w:rPr>
          <w:rStyle w:val="Bodytext1"/>
          <w:i/>
          <w:iCs/>
        </w:rPr>
        <w:t>tym wsparcia jednostek samorządu terytorialnego w realizacji dodatkowych zadań oświatowych</w:t>
      </w:r>
      <w:r w:rsidRPr="0042225C">
        <w:rPr>
          <w:rStyle w:val="Bodytext1"/>
          <w:bCs/>
          <w:i/>
        </w:rPr>
        <w:t xml:space="preserve"> </w:t>
      </w:r>
      <w:r w:rsidR="0042225C" w:rsidRPr="0042225C">
        <w:rPr>
          <w:rStyle w:val="Bodytext1"/>
          <w:bCs/>
          <w:i/>
        </w:rPr>
        <w:t>w</w:t>
      </w:r>
      <w:r w:rsidRPr="0042225C">
        <w:rPr>
          <w:rStyle w:val="Bodytext1"/>
          <w:bCs/>
          <w:i/>
        </w:rPr>
        <w:t xml:space="preserve"> </w:t>
      </w:r>
      <w:r w:rsidRPr="0042225C">
        <w:rPr>
          <w:rStyle w:val="Bodytext1"/>
          <w:i/>
          <w:iCs/>
        </w:rPr>
        <w:t>ty</w:t>
      </w:r>
      <w:r>
        <w:rPr>
          <w:rStyle w:val="Bodytext1"/>
          <w:i/>
          <w:iCs/>
        </w:rPr>
        <w:t>m zakresie;</w:t>
      </w:r>
      <w:r>
        <w:br w:type="page"/>
      </w:r>
    </w:p>
    <w:p w:rsidR="00906D5B" w:rsidRDefault="001F0DB4">
      <w:pPr>
        <w:pStyle w:val="Bodytext10"/>
        <w:numPr>
          <w:ilvl w:val="0"/>
          <w:numId w:val="8"/>
        </w:numPr>
        <w:tabs>
          <w:tab w:val="left" w:pos="313"/>
        </w:tabs>
        <w:spacing w:line="394" w:lineRule="auto"/>
      </w:pPr>
      <w:r>
        <w:rPr>
          <w:rStyle w:val="Bodytext1"/>
          <w:i/>
          <w:iCs/>
        </w:rPr>
        <w:lastRenderedPageBreak/>
        <w:t xml:space="preserve">szczególne zasady organizacji i </w:t>
      </w:r>
      <w:r w:rsidRPr="0042225C">
        <w:rPr>
          <w:rStyle w:val="Bodytext1"/>
          <w:i/>
          <w:iCs/>
        </w:rPr>
        <w:t>funkcjonowania uczelni</w:t>
      </w:r>
      <w:r w:rsidRPr="0042225C">
        <w:rPr>
          <w:rStyle w:val="Bodytext1"/>
          <w:bCs/>
        </w:rPr>
        <w:t xml:space="preserve"> </w:t>
      </w:r>
      <w:r w:rsidR="0042225C" w:rsidRPr="0042225C">
        <w:rPr>
          <w:rStyle w:val="Bodytext1"/>
          <w:bCs/>
          <w:i/>
        </w:rPr>
        <w:t>w</w:t>
      </w:r>
      <w:r w:rsidRPr="0042225C">
        <w:rPr>
          <w:rStyle w:val="Bodytext1"/>
          <w:bCs/>
        </w:rPr>
        <w:t xml:space="preserve"> </w:t>
      </w:r>
      <w:r w:rsidRPr="0042225C">
        <w:rPr>
          <w:rStyle w:val="Bodytext1"/>
          <w:i/>
          <w:iCs/>
        </w:rPr>
        <w:t xml:space="preserve">związku z zapewnianiem miejsc na studiach dla obywateli </w:t>
      </w:r>
      <w:r w:rsidRPr="00571EBE">
        <w:rPr>
          <w:rStyle w:val="Bodytext1"/>
          <w:b/>
          <w:i/>
          <w:iCs/>
        </w:rPr>
        <w:t>Ukrainy</w:t>
      </w:r>
      <w:r w:rsidRPr="0042225C">
        <w:rPr>
          <w:rStyle w:val="Bodytext1"/>
          <w:i/>
          <w:iCs/>
        </w:rPr>
        <w:t>, o których mowa</w:t>
      </w:r>
      <w:r w:rsidRPr="0042225C">
        <w:rPr>
          <w:rStyle w:val="Bodytext1"/>
          <w:bCs/>
        </w:rPr>
        <w:t xml:space="preserve"> </w:t>
      </w:r>
      <w:r w:rsidR="0042225C" w:rsidRPr="0042225C">
        <w:rPr>
          <w:rStyle w:val="Bodytext1"/>
          <w:bCs/>
          <w:i/>
        </w:rPr>
        <w:t>w</w:t>
      </w:r>
      <w:r w:rsidRPr="0042225C">
        <w:rPr>
          <w:rStyle w:val="Bodytext1"/>
          <w:bCs/>
        </w:rPr>
        <w:t xml:space="preserve"> </w:t>
      </w:r>
      <w:r w:rsidRPr="0042225C">
        <w:rPr>
          <w:rStyle w:val="Bodytext1"/>
          <w:i/>
          <w:iCs/>
        </w:rPr>
        <w:t>us</w:t>
      </w:r>
      <w:r>
        <w:rPr>
          <w:rStyle w:val="Bodytext1"/>
          <w:i/>
          <w:iCs/>
        </w:rPr>
        <w:t>t. 1;</w:t>
      </w:r>
    </w:p>
    <w:p w:rsidR="00906D5B" w:rsidRDefault="001F0DB4">
      <w:pPr>
        <w:pStyle w:val="Bodytext10"/>
        <w:numPr>
          <w:ilvl w:val="0"/>
          <w:numId w:val="8"/>
        </w:numPr>
        <w:tabs>
          <w:tab w:val="left" w:pos="313"/>
        </w:tabs>
        <w:spacing w:line="394" w:lineRule="auto"/>
      </w:pPr>
      <w:r>
        <w:rPr>
          <w:rStyle w:val="Bodytext1"/>
          <w:i/>
          <w:iCs/>
        </w:rPr>
        <w:t xml:space="preserve">szczególne zasady podejmowania i wykonywania działalności gospodarczej przez obywateli </w:t>
      </w:r>
      <w:r w:rsidRPr="00571EBE">
        <w:rPr>
          <w:rStyle w:val="Bodytext1"/>
          <w:b/>
          <w:i/>
          <w:iCs/>
        </w:rPr>
        <w:t>Ukrainy</w:t>
      </w:r>
      <w:r>
        <w:rPr>
          <w:rStyle w:val="Bodytext1"/>
          <w:i/>
          <w:iCs/>
        </w:rPr>
        <w:t>, przebywających legalnie na terytorium Rzeczypospolitej Polskiej;</w:t>
      </w:r>
    </w:p>
    <w:p w:rsidR="00906D5B" w:rsidRDefault="001F0DB4">
      <w:pPr>
        <w:pStyle w:val="Bodytext10"/>
        <w:numPr>
          <w:ilvl w:val="0"/>
          <w:numId w:val="8"/>
        </w:numPr>
        <w:tabs>
          <w:tab w:val="left" w:pos="450"/>
        </w:tabs>
        <w:spacing w:after="400" w:line="394" w:lineRule="auto"/>
      </w:pPr>
      <w:r>
        <w:rPr>
          <w:rStyle w:val="Bodytext1"/>
          <w:i/>
          <w:iCs/>
        </w:rPr>
        <w:t xml:space="preserve">szczególne zasady prowadzenia dystrybucji produktów leczniczych i wyrobów medycznych przeznaczonych na pomoc humanitarną na terytorium </w:t>
      </w:r>
      <w:r w:rsidRPr="00571EBE">
        <w:rPr>
          <w:rStyle w:val="Bodytext1"/>
          <w:b/>
          <w:i/>
          <w:iCs/>
        </w:rPr>
        <w:t>Ukrainy</w:t>
      </w:r>
      <w:r>
        <w:rPr>
          <w:rStyle w:val="Bodytext1"/>
          <w:i/>
          <w:iCs/>
        </w:rPr>
        <w:t xml:space="preserve"> przez Rządową Agencję Rezerw Strategicznych.</w:t>
      </w:r>
    </w:p>
    <w:p w:rsidR="00906D5B" w:rsidRPr="00571EBE" w:rsidRDefault="001F0DB4">
      <w:pPr>
        <w:pStyle w:val="Bodytext10"/>
        <w:spacing w:line="389" w:lineRule="auto"/>
      </w:pPr>
      <w:r w:rsidRPr="00571EBE">
        <w:rPr>
          <w:rStyle w:val="Bodytext1"/>
        </w:rPr>
        <w:t>W żadnym miejscu w tym artykule nic ma mowy o innych grupach cudzoziemców.</w:t>
      </w:r>
    </w:p>
    <w:p w:rsidR="00906D5B" w:rsidRPr="00571EBE" w:rsidRDefault="001F0DB4">
      <w:pPr>
        <w:pStyle w:val="Bodytext10"/>
        <w:spacing w:line="401" w:lineRule="auto"/>
      </w:pPr>
      <w:r w:rsidRPr="00571EBE">
        <w:rPr>
          <w:rStyle w:val="Bodytext1"/>
        </w:rPr>
        <w:t xml:space="preserve">W artykule 2 czytamy, iż pobyt obywatela Ukrainy, przybyłego do Polski ze względu na konflikt zbrojny, jego pobyt na tym terytorium uznaje się za legalny </w:t>
      </w:r>
      <w:r w:rsidRPr="00571EBE">
        <w:rPr>
          <w:rStyle w:val="Bodytext1"/>
          <w:b/>
          <w:bCs/>
        </w:rPr>
        <w:t>do dnia 30 września 2025 r.</w:t>
      </w:r>
    </w:p>
    <w:p w:rsidR="00906D5B" w:rsidRPr="00571EBE" w:rsidRDefault="001F0DB4">
      <w:pPr>
        <w:pStyle w:val="Bodytext10"/>
        <w:spacing w:line="389" w:lineRule="auto"/>
      </w:pPr>
      <w:r w:rsidRPr="00571EBE">
        <w:rPr>
          <w:rStyle w:val="Bodytext1"/>
        </w:rPr>
        <w:t>W przytoczonym wyżej artykule 100c i l</w:t>
      </w:r>
      <w:r w:rsidR="0042225C" w:rsidRPr="00571EBE">
        <w:rPr>
          <w:rStyle w:val="Bodytext1"/>
        </w:rPr>
        <w:t>00</w:t>
      </w:r>
      <w:r w:rsidRPr="00571EBE">
        <w:rPr>
          <w:rStyle w:val="Bodytext1"/>
        </w:rPr>
        <w:t xml:space="preserve">d mowa jest o zaprzestaniu wydawania pozwoleń na pobyt (kart pobytu) również do </w:t>
      </w:r>
      <w:r w:rsidRPr="00571EBE">
        <w:rPr>
          <w:rStyle w:val="Bodytext1"/>
          <w:b/>
          <w:bCs/>
        </w:rPr>
        <w:t xml:space="preserve">30 września 2025. </w:t>
      </w:r>
      <w:r w:rsidRPr="00571EBE">
        <w:rPr>
          <w:rStyle w:val="Bodytext1"/>
        </w:rPr>
        <w:t>Z logicznego punktu widzenia odnosi się to więc tylko do</w:t>
      </w:r>
      <w:r w:rsidR="0042225C" w:rsidRPr="00571EBE">
        <w:rPr>
          <w:rStyle w:val="Bodytext1"/>
        </w:rPr>
        <w:t> </w:t>
      </w:r>
      <w:r w:rsidRPr="00571EBE">
        <w:rPr>
          <w:rStyle w:val="Bodytext1"/>
        </w:rPr>
        <w:t>tych obywateli Ukrainy, którzy przyjechali do Polski ze względu na konflikt zbrojny, gdyż ich pobyt w</w:t>
      </w:r>
      <w:r w:rsidR="0042225C" w:rsidRPr="00571EBE">
        <w:rPr>
          <w:rStyle w:val="Bodytext1"/>
        </w:rPr>
        <w:t> </w:t>
      </w:r>
      <w:r w:rsidRPr="00571EBE">
        <w:rPr>
          <w:rStyle w:val="Bodytext1"/>
        </w:rPr>
        <w:t>Polsce pozostaje legalny, a więc sprawa wydania karty pobytu nie jest dla nich w tym wypadku nadrzędna. Urzędy mylnie interpretują ten zapis na swoją korzyść i odnoszą te dwa punkty do</w:t>
      </w:r>
      <w:r w:rsidR="0042225C" w:rsidRPr="00571EBE">
        <w:rPr>
          <w:rStyle w:val="Bodytext1"/>
        </w:rPr>
        <w:t> </w:t>
      </w:r>
      <w:r w:rsidRPr="00571EBE">
        <w:rPr>
          <w:rStyle w:val="Bodytext1"/>
        </w:rPr>
        <w:t>wszystkich grup cudzoziemców, co pozwala im bez konsekwencji opóźniać wydawanie decyzji i</w:t>
      </w:r>
      <w:r w:rsidR="0042225C" w:rsidRPr="00571EBE">
        <w:rPr>
          <w:rStyle w:val="Bodytext1"/>
        </w:rPr>
        <w:t> </w:t>
      </w:r>
      <w:r w:rsidRPr="00571EBE">
        <w:rPr>
          <w:rStyle w:val="Bodytext1"/>
        </w:rPr>
        <w:t>załatwianie spraw na czas.</w:t>
      </w:r>
    </w:p>
    <w:p w:rsidR="00906D5B" w:rsidRPr="00571EBE" w:rsidRDefault="001F0DB4">
      <w:pPr>
        <w:pStyle w:val="Bodytext10"/>
        <w:spacing w:after="400" w:line="389" w:lineRule="auto"/>
      </w:pPr>
      <w:r w:rsidRPr="00571EBE">
        <w:rPr>
          <w:rStyle w:val="Bodytext1"/>
        </w:rPr>
        <w:t>Osoby przybyłe z terytorium Ukrainy, dzięki wprowadzeniu tej samej ustawy, mają możliwość uproszczonego uzyskania statusu UKR, który uprawnia do pobytu oraz w przypadku znalezienia pracy do szybkiego jej podjęcia na podstawie powiadomienia o powierzeniu wykonywania pracy obywatelowi Ukrainy. Nie ma to jednak zastosowania do innych obcokrajowców, którzy w okresie oczekiwania na kartę pobytu nie mogą podjąć pracy, a także wyjechać w Polski i wrócić legalnie (wymagana jest nowa wiza). Z drugiej strony, nawet w przypadku wyjazdu z Polski, możliwa jest kontrola służb czy dana osoba zamieszkuje pod adresem wskazanym we wniosku, czyli przy wyjeździć owa kontrola skutkowałaby negatywną opinią a następnie odmową wydania karty.</w:t>
      </w:r>
    </w:p>
    <w:p w:rsidR="00906D5B" w:rsidRDefault="001F0DB4">
      <w:pPr>
        <w:pStyle w:val="Bodytext10"/>
        <w:spacing w:after="400" w:line="398" w:lineRule="auto"/>
      </w:pPr>
      <w:r w:rsidRPr="00571EBE">
        <w:rPr>
          <w:rStyle w:val="Bodytext1"/>
        </w:rPr>
        <w:t>W rezultacie więc, małżonkowie obywateli RP przyjeżdżają do Polski, przez kilka lub kilkanaście miesięcy nie mając możliwości podjęcia pracy, będąc na utrzymaniu innej osoby, nie mają też możliwości swobodnego wyjazdu z kraju i powrotu.</w:t>
      </w:r>
      <w:r w:rsidRPr="00571EBE">
        <w:br w:type="page"/>
      </w:r>
    </w:p>
    <w:p w:rsidR="00906D5B" w:rsidRDefault="001F0DB4">
      <w:pPr>
        <w:pStyle w:val="Bodytext10"/>
        <w:spacing w:after="400" w:line="394" w:lineRule="auto"/>
      </w:pPr>
      <w:r>
        <w:rPr>
          <w:rStyle w:val="Bodytext1"/>
        </w:rPr>
        <w:lastRenderedPageBreak/>
        <w:t xml:space="preserve">W przypadku sprawy osoby, w której imieniu składam wniosek, od kwietnia siedzi w domu i jedynie pomaga w zajmowaniu się 5-miesięcznym niemowlęciem. Brak możliwości podjęcia pracy skutkuje tym. że małżonkowie utrzymują się z zasiłku 800+ dla dziecka, pomocy rodziców żony i jej oszczędności. W dodatku Pan </w:t>
      </w:r>
      <w:r w:rsidR="0042225C">
        <w:rPr>
          <w:rStyle w:val="Bodytext1"/>
        </w:rPr>
        <w:t xml:space="preserve">       </w:t>
      </w:r>
      <w:r>
        <w:rPr>
          <w:rStyle w:val="Bodytext1"/>
        </w:rPr>
        <w:t xml:space="preserve"> posiada jeszcze 5-letnie dziecko z poprzedniego związku, na które obowiązkowo wysyłane są alimenty. Na dzień dzisiejszy czas oczekiwania na kartę przekracza 7 miesięcy, nic było również jeszcze kontroli policji w sprawie wywiadu środowiskowego, co pozwala domyślać się, że nic możemy liczyć na szybkie rozwiązanie sprawy. Nawet jeśli odejmiemy ustawowe 60 dni (2 miesiące), otrzymujemy 5 miesięcy utraconych zarobków. Sytuacja ta wzmaga konflikty wśród małżonków oraz uniemożliwia dalsze planowanie życia na dobrym poziomie i powiększania rodziny.</w:t>
      </w:r>
    </w:p>
    <w:p w:rsidR="00906D5B" w:rsidRDefault="001F0DB4">
      <w:pPr>
        <w:pStyle w:val="Bodytext10"/>
        <w:spacing w:after="400" w:line="389" w:lineRule="auto"/>
      </w:pPr>
      <w:r>
        <w:rPr>
          <w:rStyle w:val="Bodytext1"/>
        </w:rPr>
        <w:t xml:space="preserve">Bardzo dobre rozwiązanie takiej sytuacji wprowadzają m.in. Niderlandy, gdzie dla partnerów/małżonków obywateli Unii Europejskiej umożliwia się złożenie wniosku </w:t>
      </w:r>
      <w:r>
        <w:rPr>
          <w:rStyle w:val="Bodytext1"/>
          <w:lang w:val="en-US" w:eastAsia="en-US" w:bidi="en-US"/>
        </w:rPr>
        <w:t xml:space="preserve">online </w:t>
      </w:r>
      <w:r>
        <w:rPr>
          <w:rStyle w:val="Bodytext1"/>
        </w:rPr>
        <w:t>lub osobiście, załączając kilka niezbędnych dokumentów (akt ślubu, dokument zameldowania małżonka, świadectwo pracy), po sprawdzeniu tych dokumentów bez zbędnej zwłoki urząd udziela tymczasowego pozwolenia na pobyt i pracę na 6 miesięcy. W ciągu tego okresu obcokrajowiec może podjąć pracę, a w międzyczasie udać się do urzędu imigracyjnego osobiście i, podobnie jak w Polsce, złożyć odciski palców oraz udzielić (ewentualnych) wyjaśnień. Dzięki zastosowanemu rozwiązaniu rodziny są w stanie prowadzić normalne życie i pracować. Myślę, że podobne rozwiązanie byłoby korzystne w przypadku obecnej sytuacji w Polsce.</w:t>
      </w:r>
    </w:p>
    <w:p w:rsidR="00906D5B" w:rsidRDefault="001F0DB4">
      <w:pPr>
        <w:pStyle w:val="Bodytext10"/>
        <w:spacing w:line="394" w:lineRule="auto"/>
      </w:pPr>
      <w:r>
        <w:rPr>
          <w:rStyle w:val="Bodytext1"/>
        </w:rPr>
        <w:t>W związku z powyższym bardzo proszę o podjęcie stosownych działań i liczę na zrozumienie sytuacji.</w:t>
      </w:r>
    </w:p>
    <w:p w:rsidR="00906D5B" w:rsidRDefault="001F0DB4">
      <w:pPr>
        <w:pStyle w:val="Bodytext10"/>
        <w:spacing w:after="400" w:line="394" w:lineRule="auto"/>
        <w:ind w:left="7180"/>
        <w:jc w:val="right"/>
      </w:pPr>
      <w:r>
        <w:rPr>
          <w:rStyle w:val="Bodytext1"/>
        </w:rPr>
        <w:t xml:space="preserve">Z poważaniem, </w:t>
      </w:r>
      <w:r w:rsidR="0042225C" w:rsidRPr="00DE4889">
        <w:t xml:space="preserve">Agnieszka </w:t>
      </w:r>
      <w:r w:rsidR="0042225C">
        <w:t>Gökdaş</w:t>
      </w:r>
    </w:p>
    <w:p w:rsidR="00906D5B" w:rsidRDefault="001F0DB4">
      <w:pPr>
        <w:pStyle w:val="Bodytext10"/>
        <w:spacing w:line="394" w:lineRule="auto"/>
        <w:ind w:firstLine="8460"/>
        <w:jc w:val="both"/>
      </w:pPr>
      <w:r>
        <w:rPr>
          <w:rStyle w:val="Bodytext1"/>
        </w:rPr>
        <w:t>Podpis Załączniki:</w:t>
      </w:r>
    </w:p>
    <w:p w:rsidR="00906D5B" w:rsidRDefault="001F0DB4">
      <w:pPr>
        <w:pStyle w:val="Bodytext10"/>
        <w:numPr>
          <w:ilvl w:val="0"/>
          <w:numId w:val="9"/>
        </w:numPr>
        <w:tabs>
          <w:tab w:val="left" w:pos="344"/>
        </w:tabs>
        <w:spacing w:after="400" w:line="406" w:lineRule="auto"/>
      </w:pPr>
      <w:r>
        <w:rPr>
          <w:rStyle w:val="Bodytext1"/>
        </w:rPr>
        <w:t>Zgoda podmiotu trzeciego na złożenie w jego interesie petycji (w przypadku składania petycji w</w:t>
      </w:r>
      <w:r w:rsidR="00571EBE">
        <w:rPr>
          <w:rStyle w:val="Bodytext1"/>
        </w:rPr>
        <w:t> </w:t>
      </w:r>
      <w:r>
        <w:rPr>
          <w:rStyle w:val="Bodytext1"/>
        </w:rPr>
        <w:t>interesie osoby trzeciej)</w:t>
      </w:r>
      <w:r>
        <w:br w:type="page"/>
      </w:r>
    </w:p>
    <w:p w:rsidR="00906D5B" w:rsidRDefault="001F0DB4">
      <w:pPr>
        <w:pStyle w:val="Bodytext10"/>
        <w:numPr>
          <w:ilvl w:val="0"/>
          <w:numId w:val="9"/>
        </w:numPr>
        <w:tabs>
          <w:tab w:val="left" w:pos="391"/>
        </w:tabs>
        <w:spacing w:after="140" w:line="240" w:lineRule="auto"/>
      </w:pPr>
      <w:r>
        <w:rPr>
          <w:rStyle w:val="Bodytext1"/>
        </w:rPr>
        <w:lastRenderedPageBreak/>
        <w:t>Kopia odpowiedzi na ponaglenie (z dnia 15.11.2024)</w:t>
      </w:r>
    </w:p>
    <w:p w:rsidR="00906D5B" w:rsidRDefault="001F0DB4">
      <w:pPr>
        <w:pStyle w:val="Bodytext10"/>
        <w:numPr>
          <w:ilvl w:val="0"/>
          <w:numId w:val="9"/>
        </w:numPr>
        <w:tabs>
          <w:tab w:val="left" w:pos="382"/>
        </w:tabs>
        <w:spacing w:line="240" w:lineRule="auto"/>
      </w:pPr>
      <w:r>
        <w:rPr>
          <w:rStyle w:val="Bodytext1"/>
        </w:rPr>
        <w:t>Kopia strony w paszporcie z pieczątką wojewody</w:t>
      </w:r>
    </w:p>
    <w:sectPr w:rsidR="00906D5B">
      <w:pgSz w:w="11900" w:h="16840"/>
      <w:pgMar w:top="1543" w:right="1408" w:bottom="983" w:left="1359" w:header="1115" w:footer="55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E5D" w:rsidRDefault="00D44E5D">
      <w:r>
        <w:separator/>
      </w:r>
    </w:p>
  </w:endnote>
  <w:endnote w:type="continuationSeparator" w:id="0">
    <w:p w:rsidR="00D44E5D" w:rsidRDefault="00D4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E5D" w:rsidRDefault="00D44E5D"/>
  </w:footnote>
  <w:footnote w:type="continuationSeparator" w:id="0">
    <w:p w:rsidR="00D44E5D" w:rsidRDefault="00D44E5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7397"/>
    <w:multiLevelType w:val="multilevel"/>
    <w:tmpl w:val="8FD0C4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87658B"/>
    <w:multiLevelType w:val="multilevel"/>
    <w:tmpl w:val="A682582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FD2981"/>
    <w:multiLevelType w:val="multilevel"/>
    <w:tmpl w:val="F182C8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752BAC"/>
    <w:multiLevelType w:val="multilevel"/>
    <w:tmpl w:val="5DA291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941923"/>
    <w:multiLevelType w:val="multilevel"/>
    <w:tmpl w:val="FCAACCE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AC1F4A"/>
    <w:multiLevelType w:val="multilevel"/>
    <w:tmpl w:val="1A385BC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220891"/>
    <w:multiLevelType w:val="multilevel"/>
    <w:tmpl w:val="BB5A103E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3C358D"/>
    <w:multiLevelType w:val="multilevel"/>
    <w:tmpl w:val="65DACA0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0174E2"/>
    <w:multiLevelType w:val="multilevel"/>
    <w:tmpl w:val="898C21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5B"/>
    <w:rsid w:val="001F0DB4"/>
    <w:rsid w:val="00270317"/>
    <w:rsid w:val="00372B82"/>
    <w:rsid w:val="0042225C"/>
    <w:rsid w:val="00490D43"/>
    <w:rsid w:val="00571EBE"/>
    <w:rsid w:val="0058671E"/>
    <w:rsid w:val="00750CDB"/>
    <w:rsid w:val="00906D5B"/>
    <w:rsid w:val="00D44E5D"/>
    <w:rsid w:val="00DE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9E360-7652-478F-85F3-FFB1F3EA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10">
    <w:name w:val="Body text|1"/>
    <w:basedOn w:val="Normalny"/>
    <w:link w:val="Bodytext1"/>
    <w:pPr>
      <w:spacing w:line="391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1727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2025-01-23T13:25:00Z</dcterms:created>
  <dcterms:modified xsi:type="dcterms:W3CDTF">2025-01-23T13:25:00Z</dcterms:modified>
</cp:coreProperties>
</file>