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863D1" w14:textId="6F34214E" w:rsidR="005023B3" w:rsidRPr="00CC5959" w:rsidRDefault="005023B3" w:rsidP="005023B3">
      <w:pPr>
        <w:jc w:val="center"/>
        <w:rPr>
          <w:rFonts w:ascii="Lato" w:hAnsi="Lato"/>
          <w:b/>
          <w:bCs/>
          <w:color w:val="00B0F0"/>
          <w:sz w:val="36"/>
          <w:szCs w:val="36"/>
          <w:u w:val="single"/>
        </w:rPr>
      </w:pPr>
      <w:r w:rsidRPr="00CC5959">
        <w:rPr>
          <w:rFonts w:ascii="Lato" w:hAnsi="Lato"/>
          <w:b/>
          <w:bCs/>
          <w:color w:val="00B0F0"/>
          <w:sz w:val="36"/>
          <w:szCs w:val="36"/>
          <w:u w:val="single"/>
        </w:rPr>
        <w:t>PODSUMOWANIE REFUNDACJI W I PÓ</w:t>
      </w:r>
      <w:r w:rsidRPr="00CC5959">
        <w:rPr>
          <w:rFonts w:ascii="Lato" w:hAnsi="Lato" w:cs="Calibri"/>
          <w:b/>
          <w:bCs/>
          <w:color w:val="00B0F0"/>
          <w:sz w:val="36"/>
          <w:szCs w:val="36"/>
          <w:u w:val="single"/>
        </w:rPr>
        <w:t xml:space="preserve">ŁROCZU </w:t>
      </w:r>
      <w:r w:rsidRPr="00CC5959">
        <w:rPr>
          <w:rFonts w:ascii="Lato" w:hAnsi="Lato"/>
          <w:b/>
          <w:bCs/>
          <w:color w:val="00B0F0"/>
          <w:sz w:val="36"/>
          <w:szCs w:val="36"/>
          <w:u w:val="single"/>
        </w:rPr>
        <w:t xml:space="preserve">2023 ROKU </w:t>
      </w:r>
      <w:r w:rsidR="00A91765">
        <w:rPr>
          <w:rFonts w:ascii="Lato" w:hAnsi="Lato"/>
          <w:b/>
          <w:bCs/>
          <w:color w:val="00B0F0"/>
          <w:sz w:val="36"/>
          <w:szCs w:val="36"/>
          <w:u w:val="single"/>
        </w:rPr>
        <w:br/>
      </w:r>
      <w:r w:rsidRPr="00CC5959">
        <w:rPr>
          <w:rFonts w:ascii="Lato" w:hAnsi="Lato"/>
          <w:b/>
          <w:bCs/>
          <w:color w:val="00B0F0"/>
          <w:sz w:val="36"/>
          <w:szCs w:val="36"/>
          <w:u w:val="single"/>
        </w:rPr>
        <w:t>(OBWIESZCZENIA NR 67-69)</w:t>
      </w:r>
    </w:p>
    <w:p w14:paraId="57EA0F95" w14:textId="77777777" w:rsidR="005023B3" w:rsidRPr="00CC5959" w:rsidRDefault="005023B3" w:rsidP="005023B3">
      <w:pPr>
        <w:spacing w:before="360" w:line="360" w:lineRule="auto"/>
        <w:jc w:val="center"/>
        <w:rPr>
          <w:rFonts w:ascii="Lato" w:hAnsi="Lato"/>
          <w:b/>
          <w:bCs/>
          <w:color w:val="00B0F0"/>
          <w:sz w:val="28"/>
          <w:szCs w:val="28"/>
        </w:rPr>
      </w:pPr>
      <w:r w:rsidRPr="00CC5959">
        <w:rPr>
          <w:rFonts w:ascii="Lato" w:hAnsi="Lato"/>
          <w:b/>
          <w:bCs/>
          <w:color w:val="00B0F0"/>
          <w:sz w:val="28"/>
          <w:szCs w:val="28"/>
        </w:rPr>
        <w:t>STATYSTYKI</w:t>
      </w:r>
    </w:p>
    <w:p w14:paraId="4964ABFB" w14:textId="29D04A02" w:rsidR="005023B3" w:rsidRPr="00CC5959" w:rsidRDefault="005023B3" w:rsidP="005023B3">
      <w:pPr>
        <w:spacing w:line="360" w:lineRule="auto"/>
        <w:jc w:val="both"/>
        <w:rPr>
          <w:rFonts w:ascii="Lato" w:hAnsi="Lato"/>
          <w:sz w:val="24"/>
          <w:szCs w:val="24"/>
        </w:rPr>
      </w:pPr>
      <w:r w:rsidRPr="00CC5959">
        <w:rPr>
          <w:rFonts w:ascii="Lato" w:hAnsi="Lato"/>
          <w:sz w:val="24"/>
          <w:szCs w:val="24"/>
        </w:rPr>
        <w:t xml:space="preserve">W I półroczu 2023 r. obwieszczenia refundacyjne obowiązujące od stycznia (nr 67) do </w:t>
      </w:r>
      <w:r w:rsidR="00E369DD">
        <w:rPr>
          <w:rFonts w:ascii="Lato" w:hAnsi="Lato"/>
          <w:sz w:val="24"/>
          <w:szCs w:val="24"/>
        </w:rPr>
        <w:t>czerwc</w:t>
      </w:r>
      <w:r w:rsidRPr="00CC5959">
        <w:rPr>
          <w:rFonts w:ascii="Lato" w:hAnsi="Lato"/>
          <w:sz w:val="24"/>
          <w:szCs w:val="24"/>
        </w:rPr>
        <w:t>a (nr 69) zawierały następujące zmiany:</w:t>
      </w:r>
    </w:p>
    <w:p w14:paraId="3626A8C1" w14:textId="1992CEDB" w:rsidR="005023B3" w:rsidRPr="00CC5959" w:rsidRDefault="005023B3" w:rsidP="005023B3">
      <w:pPr>
        <w:pStyle w:val="Akapitzlist"/>
        <w:numPr>
          <w:ilvl w:val="0"/>
          <w:numId w:val="32"/>
        </w:numPr>
        <w:spacing w:line="360" w:lineRule="auto"/>
        <w:jc w:val="both"/>
        <w:textAlignment w:val="auto"/>
        <w:rPr>
          <w:rFonts w:ascii="Lato" w:hAnsi="Lato"/>
          <w:sz w:val="24"/>
          <w:szCs w:val="24"/>
        </w:rPr>
      </w:pPr>
      <w:r w:rsidRPr="00CC5959">
        <w:rPr>
          <w:rFonts w:ascii="Lato" w:hAnsi="Lato"/>
          <w:sz w:val="24"/>
          <w:szCs w:val="24"/>
        </w:rPr>
        <w:t xml:space="preserve">W związku z wydaniem pozytywnych decyzji o objęciu refundacją zostało dodanych </w:t>
      </w:r>
      <w:r w:rsidR="00E454A4">
        <w:rPr>
          <w:rFonts w:ascii="Lato" w:hAnsi="Lato"/>
          <w:sz w:val="24"/>
          <w:szCs w:val="24"/>
        </w:rPr>
        <w:t>340</w:t>
      </w:r>
      <w:r>
        <w:rPr>
          <w:rFonts w:ascii="Lato" w:hAnsi="Lato"/>
          <w:sz w:val="24"/>
          <w:szCs w:val="24"/>
        </w:rPr>
        <w:t xml:space="preserve"> </w:t>
      </w:r>
      <w:r w:rsidRPr="00CC5959">
        <w:rPr>
          <w:rFonts w:ascii="Lato" w:hAnsi="Lato"/>
          <w:sz w:val="24"/>
          <w:szCs w:val="24"/>
        </w:rPr>
        <w:t>produkt</w:t>
      </w:r>
      <w:r w:rsidRPr="00CC5959">
        <w:rPr>
          <w:rFonts w:ascii="Lato" w:hAnsi="Lato" w:cs="Abadi"/>
          <w:sz w:val="24"/>
          <w:szCs w:val="24"/>
        </w:rPr>
        <w:t>ó</w:t>
      </w:r>
      <w:r w:rsidRPr="00CC5959">
        <w:rPr>
          <w:rFonts w:ascii="Lato" w:hAnsi="Lato"/>
          <w:sz w:val="24"/>
          <w:szCs w:val="24"/>
        </w:rPr>
        <w:t>w bądź nowych wskazań.</w:t>
      </w:r>
    </w:p>
    <w:p w14:paraId="0424D586" w14:textId="7C6BB819" w:rsidR="005023B3" w:rsidRPr="00E454A4" w:rsidRDefault="005023B3" w:rsidP="005023B3">
      <w:pPr>
        <w:pStyle w:val="Akapitzlist"/>
        <w:numPr>
          <w:ilvl w:val="0"/>
          <w:numId w:val="32"/>
        </w:numPr>
        <w:spacing w:line="360" w:lineRule="auto"/>
        <w:ind w:left="714" w:hanging="357"/>
        <w:jc w:val="both"/>
        <w:textAlignment w:val="auto"/>
        <w:rPr>
          <w:rFonts w:ascii="Lato" w:hAnsi="Lato"/>
          <w:sz w:val="24"/>
          <w:szCs w:val="24"/>
        </w:rPr>
      </w:pPr>
      <w:r w:rsidRPr="00CC5959">
        <w:rPr>
          <w:rFonts w:ascii="Lato" w:hAnsi="Lato"/>
          <w:sz w:val="24"/>
          <w:szCs w:val="24"/>
        </w:rPr>
        <w:t xml:space="preserve">Dla </w:t>
      </w:r>
      <w:r w:rsidR="00E454A4" w:rsidRPr="00E454A4">
        <w:rPr>
          <w:rFonts w:ascii="Lato" w:hAnsi="Lato"/>
          <w:sz w:val="24"/>
          <w:szCs w:val="24"/>
        </w:rPr>
        <w:t>233</w:t>
      </w:r>
      <w:r w:rsidRPr="00E454A4">
        <w:rPr>
          <w:rFonts w:ascii="Lato" w:hAnsi="Lato"/>
          <w:sz w:val="24"/>
          <w:szCs w:val="24"/>
        </w:rPr>
        <w:t xml:space="preserve"> produktów wprowadzono obni</w:t>
      </w:r>
      <w:r w:rsidRPr="00E454A4">
        <w:rPr>
          <w:rFonts w:ascii="Lato" w:hAnsi="Lato" w:cs="Calibri"/>
          <w:sz w:val="24"/>
          <w:szCs w:val="24"/>
        </w:rPr>
        <w:t>ż</w:t>
      </w:r>
      <w:r w:rsidRPr="00E454A4">
        <w:rPr>
          <w:rFonts w:ascii="Lato" w:hAnsi="Lato"/>
          <w:sz w:val="24"/>
          <w:szCs w:val="24"/>
        </w:rPr>
        <w:t>ki urz</w:t>
      </w:r>
      <w:r w:rsidRPr="00E454A4">
        <w:rPr>
          <w:rFonts w:ascii="Lato" w:hAnsi="Lato" w:cs="Calibri"/>
          <w:sz w:val="24"/>
          <w:szCs w:val="24"/>
        </w:rPr>
        <w:t>ę</w:t>
      </w:r>
      <w:r w:rsidRPr="00E454A4">
        <w:rPr>
          <w:rFonts w:ascii="Lato" w:hAnsi="Lato"/>
          <w:sz w:val="24"/>
          <w:szCs w:val="24"/>
        </w:rPr>
        <w:t xml:space="preserve">dowych cen zbytu (od </w:t>
      </w:r>
      <w:r w:rsidR="00E454A4" w:rsidRPr="00E454A4">
        <w:rPr>
          <w:rFonts w:ascii="Lato" w:hAnsi="Lato"/>
          <w:sz w:val="24"/>
          <w:szCs w:val="24"/>
        </w:rPr>
        <w:t>-0,01</w:t>
      </w:r>
      <w:r w:rsidRPr="00E454A4">
        <w:rPr>
          <w:rFonts w:ascii="Lato" w:hAnsi="Lato"/>
          <w:sz w:val="24"/>
          <w:szCs w:val="24"/>
        </w:rPr>
        <w:t xml:space="preserve"> z</w:t>
      </w:r>
      <w:r w:rsidRPr="00E454A4">
        <w:rPr>
          <w:rFonts w:ascii="Lato" w:hAnsi="Lato" w:cs="Calibri"/>
          <w:sz w:val="24"/>
          <w:szCs w:val="24"/>
        </w:rPr>
        <w:t>ł</w:t>
      </w:r>
      <w:r w:rsidRPr="00E454A4">
        <w:rPr>
          <w:rFonts w:ascii="Lato" w:hAnsi="Lato"/>
          <w:sz w:val="24"/>
          <w:szCs w:val="24"/>
        </w:rPr>
        <w:t xml:space="preserve"> do </w:t>
      </w:r>
      <w:r w:rsidR="00E454A4" w:rsidRPr="00E454A4">
        <w:rPr>
          <w:rFonts w:ascii="Lato" w:hAnsi="Lato"/>
          <w:sz w:val="24"/>
          <w:szCs w:val="24"/>
        </w:rPr>
        <w:t>-4460,40</w:t>
      </w:r>
      <w:r w:rsidRPr="00E454A4">
        <w:rPr>
          <w:rFonts w:ascii="Lato" w:hAnsi="Lato"/>
          <w:sz w:val="24"/>
          <w:szCs w:val="24"/>
        </w:rPr>
        <w:t xml:space="preserve"> z</w:t>
      </w:r>
      <w:r w:rsidRPr="00E454A4">
        <w:rPr>
          <w:rFonts w:ascii="Lato" w:hAnsi="Lato" w:cs="Calibri"/>
          <w:sz w:val="24"/>
          <w:szCs w:val="24"/>
        </w:rPr>
        <w:t>ł</w:t>
      </w:r>
      <w:r w:rsidRPr="00E454A4">
        <w:rPr>
          <w:rFonts w:ascii="Lato" w:hAnsi="Lato"/>
          <w:sz w:val="24"/>
          <w:szCs w:val="24"/>
        </w:rPr>
        <w:t>).</w:t>
      </w:r>
    </w:p>
    <w:p w14:paraId="14202E41" w14:textId="173BA8F0" w:rsidR="005023B3" w:rsidRPr="00CC5959" w:rsidRDefault="005023B3" w:rsidP="005023B3">
      <w:pPr>
        <w:pStyle w:val="Akapitzlist"/>
        <w:numPr>
          <w:ilvl w:val="0"/>
          <w:numId w:val="32"/>
        </w:numPr>
        <w:spacing w:line="360" w:lineRule="auto"/>
        <w:ind w:left="714" w:hanging="357"/>
        <w:jc w:val="both"/>
        <w:textAlignment w:val="auto"/>
        <w:rPr>
          <w:rFonts w:ascii="Lato" w:hAnsi="Lato"/>
          <w:sz w:val="24"/>
          <w:szCs w:val="24"/>
        </w:rPr>
      </w:pPr>
      <w:r w:rsidRPr="00E454A4">
        <w:rPr>
          <w:rFonts w:ascii="Lato" w:hAnsi="Lato"/>
          <w:sz w:val="24"/>
          <w:szCs w:val="24"/>
        </w:rPr>
        <w:t xml:space="preserve">Dla </w:t>
      </w:r>
      <w:r w:rsidR="00E454A4" w:rsidRPr="00E454A4">
        <w:rPr>
          <w:rFonts w:ascii="Lato" w:hAnsi="Lato" w:cs="Calibri"/>
          <w:sz w:val="24"/>
          <w:szCs w:val="24"/>
        </w:rPr>
        <w:t>146</w:t>
      </w:r>
      <w:r w:rsidRPr="00E454A4">
        <w:rPr>
          <w:rFonts w:ascii="Lato" w:hAnsi="Lato" w:cs="Calibri"/>
          <w:sz w:val="24"/>
          <w:szCs w:val="24"/>
        </w:rPr>
        <w:t xml:space="preserve"> produktów</w:t>
      </w:r>
      <w:r w:rsidRPr="00E454A4">
        <w:rPr>
          <w:rFonts w:ascii="Lato" w:hAnsi="Lato"/>
          <w:sz w:val="24"/>
          <w:szCs w:val="24"/>
        </w:rPr>
        <w:t xml:space="preserve"> </w:t>
      </w:r>
      <w:r w:rsidRPr="00CC5959">
        <w:rPr>
          <w:rFonts w:ascii="Lato" w:hAnsi="Lato"/>
          <w:sz w:val="24"/>
          <w:szCs w:val="24"/>
        </w:rPr>
        <w:t>podwy</w:t>
      </w:r>
      <w:r w:rsidRPr="00CC5959">
        <w:rPr>
          <w:rFonts w:ascii="Lato" w:hAnsi="Lato" w:cs="Calibri"/>
          <w:sz w:val="24"/>
          <w:szCs w:val="24"/>
        </w:rPr>
        <w:t>ż</w:t>
      </w:r>
      <w:r w:rsidRPr="00CC5959">
        <w:rPr>
          <w:rFonts w:ascii="Lato" w:hAnsi="Lato"/>
          <w:sz w:val="24"/>
          <w:szCs w:val="24"/>
        </w:rPr>
        <w:t>szono urz</w:t>
      </w:r>
      <w:r w:rsidRPr="00CC5959">
        <w:rPr>
          <w:rFonts w:ascii="Lato" w:hAnsi="Lato" w:cs="Calibri"/>
          <w:sz w:val="24"/>
          <w:szCs w:val="24"/>
        </w:rPr>
        <w:t>ę</w:t>
      </w:r>
      <w:r w:rsidRPr="00CC5959">
        <w:rPr>
          <w:rFonts w:ascii="Lato" w:hAnsi="Lato"/>
          <w:sz w:val="24"/>
          <w:szCs w:val="24"/>
        </w:rPr>
        <w:t xml:space="preserve">dowe ceny zbytu (od </w:t>
      </w:r>
      <w:r w:rsidR="00E454A4">
        <w:rPr>
          <w:rFonts w:ascii="Lato" w:hAnsi="Lato"/>
          <w:sz w:val="24"/>
          <w:szCs w:val="24"/>
        </w:rPr>
        <w:t>0,03</w:t>
      </w:r>
      <w:r w:rsidRPr="00CC5959">
        <w:rPr>
          <w:rFonts w:ascii="Lato" w:hAnsi="Lato"/>
          <w:sz w:val="24"/>
          <w:szCs w:val="24"/>
        </w:rPr>
        <w:t xml:space="preserve"> zł do </w:t>
      </w:r>
      <w:r w:rsidR="00E454A4">
        <w:rPr>
          <w:rFonts w:ascii="Lato" w:hAnsi="Lato"/>
          <w:sz w:val="24"/>
          <w:szCs w:val="24"/>
        </w:rPr>
        <w:t>2160,00</w:t>
      </w:r>
      <w:r w:rsidRPr="00CC5959">
        <w:rPr>
          <w:rFonts w:ascii="Lato" w:hAnsi="Lato"/>
          <w:sz w:val="24"/>
          <w:szCs w:val="24"/>
        </w:rPr>
        <w:t xml:space="preserve"> zł).</w:t>
      </w:r>
    </w:p>
    <w:p w14:paraId="319B2C69" w14:textId="57C4326B" w:rsidR="005023B3" w:rsidRPr="00CC5959" w:rsidRDefault="005023B3" w:rsidP="005023B3">
      <w:pPr>
        <w:pStyle w:val="Akapitzlist"/>
        <w:numPr>
          <w:ilvl w:val="0"/>
          <w:numId w:val="32"/>
        </w:numPr>
        <w:spacing w:line="360" w:lineRule="auto"/>
        <w:ind w:left="714" w:hanging="357"/>
        <w:jc w:val="both"/>
        <w:textAlignment w:val="auto"/>
        <w:rPr>
          <w:rFonts w:ascii="Lato" w:hAnsi="Lato"/>
          <w:sz w:val="24"/>
          <w:szCs w:val="24"/>
        </w:rPr>
      </w:pPr>
      <w:r w:rsidRPr="00CC5959">
        <w:rPr>
          <w:rFonts w:ascii="Lato" w:hAnsi="Lato"/>
          <w:sz w:val="24"/>
          <w:szCs w:val="24"/>
        </w:rPr>
        <w:t>W zwi</w:t>
      </w:r>
      <w:r w:rsidRPr="00CC5959">
        <w:rPr>
          <w:rFonts w:ascii="Lato" w:hAnsi="Lato" w:cs="Calibri"/>
          <w:sz w:val="24"/>
          <w:szCs w:val="24"/>
        </w:rPr>
        <w:t>ą</w:t>
      </w:r>
      <w:r w:rsidRPr="00CC5959">
        <w:rPr>
          <w:rFonts w:ascii="Lato" w:hAnsi="Lato"/>
          <w:sz w:val="24"/>
          <w:szCs w:val="24"/>
        </w:rPr>
        <w:t>zku z wp</w:t>
      </w:r>
      <w:r w:rsidRPr="00CC5959">
        <w:rPr>
          <w:rFonts w:ascii="Lato" w:hAnsi="Lato" w:cs="Calibri"/>
          <w:sz w:val="24"/>
          <w:szCs w:val="24"/>
        </w:rPr>
        <w:t>ł</w:t>
      </w:r>
      <w:r w:rsidRPr="00CC5959">
        <w:rPr>
          <w:rFonts w:ascii="Lato" w:hAnsi="Lato"/>
          <w:sz w:val="24"/>
          <w:szCs w:val="24"/>
        </w:rPr>
        <w:t>yni</w:t>
      </w:r>
      <w:r w:rsidRPr="00CC5959">
        <w:rPr>
          <w:rFonts w:ascii="Lato" w:hAnsi="Lato" w:cs="Calibri"/>
          <w:sz w:val="24"/>
          <w:szCs w:val="24"/>
        </w:rPr>
        <w:t>ę</w:t>
      </w:r>
      <w:r w:rsidRPr="00CC5959">
        <w:rPr>
          <w:rFonts w:ascii="Lato" w:hAnsi="Lato"/>
          <w:sz w:val="24"/>
          <w:szCs w:val="24"/>
        </w:rPr>
        <w:t>ciem wniosków o skrócenie terminu obowi</w:t>
      </w:r>
      <w:r w:rsidRPr="00CC5959">
        <w:rPr>
          <w:rFonts w:ascii="Lato" w:hAnsi="Lato" w:cs="Calibri"/>
          <w:sz w:val="24"/>
          <w:szCs w:val="24"/>
        </w:rPr>
        <w:t>ą</w:t>
      </w:r>
      <w:r w:rsidRPr="00CC5959">
        <w:rPr>
          <w:rFonts w:ascii="Lato" w:hAnsi="Lato"/>
          <w:sz w:val="24"/>
          <w:szCs w:val="24"/>
        </w:rPr>
        <w:t>zywania decyzji refundacyjnych lub up</w:t>
      </w:r>
      <w:r w:rsidRPr="00CC5959">
        <w:rPr>
          <w:rFonts w:ascii="Lato" w:hAnsi="Lato" w:cs="Calibri"/>
          <w:sz w:val="24"/>
          <w:szCs w:val="24"/>
        </w:rPr>
        <w:t>ł</w:t>
      </w:r>
      <w:r w:rsidRPr="00CC5959">
        <w:rPr>
          <w:rFonts w:ascii="Lato" w:hAnsi="Lato"/>
          <w:sz w:val="24"/>
          <w:szCs w:val="24"/>
        </w:rPr>
        <w:t>yni</w:t>
      </w:r>
      <w:r w:rsidRPr="00CC5959">
        <w:rPr>
          <w:rFonts w:ascii="Lato" w:hAnsi="Lato" w:cs="Calibri"/>
          <w:sz w:val="24"/>
          <w:szCs w:val="24"/>
        </w:rPr>
        <w:t>ę</w:t>
      </w:r>
      <w:r w:rsidRPr="00CC5959">
        <w:rPr>
          <w:rFonts w:ascii="Lato" w:hAnsi="Lato"/>
          <w:sz w:val="24"/>
          <w:szCs w:val="24"/>
        </w:rPr>
        <w:t>ciem terminu obowi</w:t>
      </w:r>
      <w:r w:rsidRPr="00CC5959">
        <w:rPr>
          <w:rFonts w:ascii="Lato" w:hAnsi="Lato" w:cs="Calibri"/>
          <w:sz w:val="24"/>
          <w:szCs w:val="24"/>
        </w:rPr>
        <w:t>ą</w:t>
      </w:r>
      <w:r w:rsidRPr="00CC5959">
        <w:rPr>
          <w:rFonts w:ascii="Lato" w:hAnsi="Lato"/>
          <w:sz w:val="24"/>
          <w:szCs w:val="24"/>
        </w:rPr>
        <w:t>zywania decyzji refundacyjnych lub odmow</w:t>
      </w:r>
      <w:r w:rsidRPr="00CC5959">
        <w:rPr>
          <w:rFonts w:ascii="Lato" w:hAnsi="Lato" w:cs="Calibri"/>
          <w:sz w:val="24"/>
          <w:szCs w:val="24"/>
        </w:rPr>
        <w:t>ą</w:t>
      </w:r>
      <w:r w:rsidRPr="00CC5959">
        <w:rPr>
          <w:rFonts w:ascii="Lato" w:hAnsi="Lato"/>
          <w:sz w:val="24"/>
          <w:szCs w:val="24"/>
        </w:rPr>
        <w:t xml:space="preserve"> refundacji na kolejny okres z wykazów usunięto </w:t>
      </w:r>
      <w:r w:rsidR="00E454A4">
        <w:rPr>
          <w:rFonts w:ascii="Lato" w:hAnsi="Lato" w:cs="Calibri"/>
          <w:sz w:val="24"/>
          <w:szCs w:val="24"/>
        </w:rPr>
        <w:t>141</w:t>
      </w:r>
      <w:r w:rsidRPr="00CC5959">
        <w:rPr>
          <w:rFonts w:ascii="Lato" w:hAnsi="Lato"/>
          <w:sz w:val="24"/>
          <w:szCs w:val="24"/>
        </w:rPr>
        <w:t xml:space="preserve"> produktów bądź wskazań.</w:t>
      </w:r>
    </w:p>
    <w:p w14:paraId="290385D9" w14:textId="2F10B4B8" w:rsidR="005023B3" w:rsidRPr="00CC5959" w:rsidRDefault="005023B3" w:rsidP="005023B3">
      <w:pPr>
        <w:pStyle w:val="Akapitzlist"/>
        <w:numPr>
          <w:ilvl w:val="0"/>
          <w:numId w:val="32"/>
        </w:numPr>
        <w:spacing w:line="360" w:lineRule="auto"/>
        <w:ind w:left="714" w:hanging="357"/>
        <w:jc w:val="both"/>
        <w:textAlignment w:val="auto"/>
        <w:rPr>
          <w:rFonts w:ascii="Lato" w:hAnsi="Lato"/>
          <w:sz w:val="24"/>
          <w:szCs w:val="24"/>
        </w:rPr>
      </w:pPr>
      <w:r w:rsidRPr="00CC5959">
        <w:rPr>
          <w:rFonts w:ascii="Lato" w:hAnsi="Lato"/>
          <w:sz w:val="24"/>
          <w:szCs w:val="24"/>
        </w:rPr>
        <w:t>W związku z obwieszczeniami nr 6</w:t>
      </w:r>
      <w:r>
        <w:rPr>
          <w:rFonts w:ascii="Lato" w:hAnsi="Lato"/>
          <w:sz w:val="24"/>
          <w:szCs w:val="24"/>
        </w:rPr>
        <w:t>7</w:t>
      </w:r>
      <w:r w:rsidRPr="00CC5959">
        <w:rPr>
          <w:rFonts w:ascii="Lato" w:hAnsi="Lato"/>
          <w:sz w:val="24"/>
          <w:szCs w:val="24"/>
        </w:rPr>
        <w:t xml:space="preserve"> – 6</w:t>
      </w:r>
      <w:r>
        <w:rPr>
          <w:rFonts w:ascii="Lato" w:hAnsi="Lato"/>
          <w:sz w:val="24"/>
          <w:szCs w:val="24"/>
        </w:rPr>
        <w:t>9</w:t>
      </w:r>
      <w:r w:rsidRPr="00CC5959">
        <w:rPr>
          <w:rFonts w:ascii="Lato" w:hAnsi="Lato"/>
          <w:sz w:val="24"/>
          <w:szCs w:val="24"/>
        </w:rPr>
        <w:t xml:space="preserve"> </w:t>
      </w:r>
      <w:r w:rsidRPr="00E369DD">
        <w:rPr>
          <w:rFonts w:ascii="Lato" w:hAnsi="Lato"/>
          <w:sz w:val="24"/>
          <w:szCs w:val="24"/>
        </w:rPr>
        <w:t xml:space="preserve">wydano </w:t>
      </w:r>
      <w:r w:rsidR="00802A0D" w:rsidRPr="00E369DD">
        <w:rPr>
          <w:rFonts w:ascii="Lato" w:hAnsi="Lato" w:cs="Calibri"/>
          <w:sz w:val="24"/>
          <w:szCs w:val="24"/>
        </w:rPr>
        <w:t>2540</w:t>
      </w:r>
      <w:r w:rsidRPr="00E369DD">
        <w:rPr>
          <w:rFonts w:ascii="Lato" w:hAnsi="Lato"/>
          <w:sz w:val="24"/>
          <w:szCs w:val="24"/>
        </w:rPr>
        <w:t xml:space="preserve"> decyzji</w:t>
      </w:r>
      <w:r w:rsidRPr="00CC5959">
        <w:rPr>
          <w:rFonts w:ascii="Lato" w:hAnsi="Lato"/>
          <w:sz w:val="24"/>
          <w:szCs w:val="24"/>
        </w:rPr>
        <w:t xml:space="preserve"> administracyjnych.</w:t>
      </w:r>
    </w:p>
    <w:p w14:paraId="0732972C" w14:textId="70B86128" w:rsidR="005023B3" w:rsidRPr="00CC5959" w:rsidRDefault="005023B3" w:rsidP="005023B3">
      <w:pPr>
        <w:pStyle w:val="Akapitzlist"/>
        <w:numPr>
          <w:ilvl w:val="0"/>
          <w:numId w:val="32"/>
        </w:numPr>
        <w:spacing w:line="360" w:lineRule="auto"/>
        <w:ind w:left="714" w:hanging="357"/>
        <w:jc w:val="both"/>
        <w:textAlignment w:val="auto"/>
        <w:rPr>
          <w:rFonts w:ascii="Lato" w:hAnsi="Lato"/>
          <w:sz w:val="24"/>
          <w:szCs w:val="24"/>
        </w:rPr>
      </w:pPr>
      <w:r w:rsidRPr="00CC5959">
        <w:rPr>
          <w:rFonts w:ascii="Lato" w:hAnsi="Lato"/>
          <w:sz w:val="24"/>
          <w:szCs w:val="24"/>
        </w:rPr>
        <w:t>W I połowie 202</w:t>
      </w:r>
      <w:r>
        <w:rPr>
          <w:rFonts w:ascii="Lato" w:hAnsi="Lato"/>
          <w:sz w:val="24"/>
          <w:szCs w:val="24"/>
        </w:rPr>
        <w:t>3</w:t>
      </w:r>
      <w:r w:rsidRPr="00CC5959">
        <w:rPr>
          <w:rFonts w:ascii="Lato" w:hAnsi="Lato"/>
          <w:sz w:val="24"/>
          <w:szCs w:val="24"/>
        </w:rPr>
        <w:t xml:space="preserve"> r. (do </w:t>
      </w:r>
      <w:r w:rsidR="00802A0D">
        <w:rPr>
          <w:rFonts w:ascii="Lato" w:hAnsi="Lato"/>
          <w:sz w:val="24"/>
          <w:szCs w:val="24"/>
        </w:rPr>
        <w:t xml:space="preserve">16 </w:t>
      </w:r>
      <w:r w:rsidRPr="00CC5959">
        <w:rPr>
          <w:rFonts w:ascii="Lato" w:hAnsi="Lato"/>
          <w:sz w:val="24"/>
          <w:szCs w:val="24"/>
        </w:rPr>
        <w:t>czerwca 202</w:t>
      </w:r>
      <w:r>
        <w:rPr>
          <w:rFonts w:ascii="Lato" w:hAnsi="Lato"/>
          <w:sz w:val="24"/>
          <w:szCs w:val="24"/>
        </w:rPr>
        <w:t>3</w:t>
      </w:r>
      <w:r w:rsidRPr="00CC5959">
        <w:rPr>
          <w:rFonts w:ascii="Lato" w:hAnsi="Lato"/>
          <w:sz w:val="24"/>
          <w:szCs w:val="24"/>
        </w:rPr>
        <w:t xml:space="preserve"> r.) wpłynęło </w:t>
      </w:r>
      <w:r w:rsidR="00802A0D">
        <w:rPr>
          <w:rFonts w:ascii="Lato" w:hAnsi="Lato" w:cs="Calibri"/>
          <w:sz w:val="24"/>
          <w:szCs w:val="24"/>
        </w:rPr>
        <w:t>970</w:t>
      </w:r>
      <w:r w:rsidRPr="00CC5959">
        <w:rPr>
          <w:rFonts w:ascii="Lato" w:hAnsi="Lato"/>
          <w:sz w:val="24"/>
          <w:szCs w:val="24"/>
        </w:rPr>
        <w:t xml:space="preserve"> wniosków (łącznie: o objęcie refundacją i ustalenie urzędowej ceny zbytu, podwyższenie, obniżenie urzędowej ceny zbytu oraz skrócenie obowiązywania decyzji) (dla porównania w</w:t>
      </w:r>
      <w:r w:rsidR="009D2617">
        <w:rPr>
          <w:rFonts w:ascii="Lato" w:hAnsi="Lato"/>
          <w:sz w:val="24"/>
          <w:szCs w:val="24"/>
        </w:rPr>
        <w:t xml:space="preserve"> całym</w:t>
      </w:r>
      <w:r w:rsidRPr="00CC5959">
        <w:rPr>
          <w:rFonts w:ascii="Lato" w:hAnsi="Lato"/>
          <w:sz w:val="24"/>
          <w:szCs w:val="24"/>
        </w:rPr>
        <w:t xml:space="preserve"> </w:t>
      </w:r>
      <w:r>
        <w:rPr>
          <w:rFonts w:ascii="Lato" w:hAnsi="Lato" w:cs="Calibri"/>
          <w:sz w:val="24"/>
          <w:szCs w:val="24"/>
        </w:rPr>
        <w:t>2022 r.</w:t>
      </w:r>
      <w:r w:rsidRPr="00CC5959">
        <w:rPr>
          <w:rFonts w:ascii="Lato" w:hAnsi="Lato"/>
          <w:sz w:val="24"/>
          <w:szCs w:val="24"/>
        </w:rPr>
        <w:t xml:space="preserve"> wpłynęł</w:t>
      </w:r>
      <w:r w:rsidR="00802A0D">
        <w:rPr>
          <w:rFonts w:ascii="Lato" w:hAnsi="Lato"/>
          <w:sz w:val="24"/>
          <w:szCs w:val="24"/>
        </w:rPr>
        <w:t>y</w:t>
      </w:r>
      <w:r w:rsidRPr="00CC5959">
        <w:rPr>
          <w:rFonts w:ascii="Lato" w:hAnsi="Lato"/>
          <w:sz w:val="24"/>
          <w:szCs w:val="24"/>
        </w:rPr>
        <w:t xml:space="preserve"> </w:t>
      </w:r>
      <w:r w:rsidR="00802A0D">
        <w:rPr>
          <w:rFonts w:ascii="Lato" w:hAnsi="Lato" w:cs="Calibri"/>
          <w:sz w:val="24"/>
          <w:szCs w:val="24"/>
        </w:rPr>
        <w:t xml:space="preserve">2494 </w:t>
      </w:r>
      <w:r w:rsidRPr="00CC5959">
        <w:rPr>
          <w:rFonts w:ascii="Lato" w:hAnsi="Lato"/>
          <w:sz w:val="24"/>
          <w:szCs w:val="24"/>
        </w:rPr>
        <w:t>wniosk</w:t>
      </w:r>
      <w:r w:rsidR="00802A0D">
        <w:rPr>
          <w:rFonts w:ascii="Lato" w:hAnsi="Lato"/>
          <w:sz w:val="24"/>
          <w:szCs w:val="24"/>
        </w:rPr>
        <w:t>i</w:t>
      </w:r>
      <w:r w:rsidRPr="00CC5959">
        <w:rPr>
          <w:rFonts w:ascii="Lato" w:hAnsi="Lato"/>
          <w:sz w:val="24"/>
          <w:szCs w:val="24"/>
        </w:rPr>
        <w:t>).</w:t>
      </w:r>
    </w:p>
    <w:p w14:paraId="3ADE3572" w14:textId="050D8E47" w:rsidR="005023B3" w:rsidRDefault="005023B3" w:rsidP="005023B3">
      <w:pPr>
        <w:pStyle w:val="Akapitzlist"/>
        <w:numPr>
          <w:ilvl w:val="0"/>
          <w:numId w:val="32"/>
        </w:numPr>
        <w:spacing w:line="360" w:lineRule="auto"/>
        <w:ind w:left="714" w:hanging="357"/>
        <w:jc w:val="both"/>
        <w:textAlignment w:val="auto"/>
        <w:rPr>
          <w:rFonts w:ascii="Lato" w:hAnsi="Lato"/>
          <w:sz w:val="24"/>
          <w:szCs w:val="24"/>
        </w:rPr>
      </w:pPr>
      <w:r w:rsidRPr="00CC5959">
        <w:rPr>
          <w:rFonts w:ascii="Lato" w:hAnsi="Lato"/>
          <w:sz w:val="24"/>
          <w:szCs w:val="24"/>
        </w:rPr>
        <w:t>W I połowie 202</w:t>
      </w:r>
      <w:r>
        <w:rPr>
          <w:rFonts w:ascii="Lato" w:hAnsi="Lato"/>
          <w:sz w:val="24"/>
          <w:szCs w:val="24"/>
        </w:rPr>
        <w:t>3</w:t>
      </w:r>
      <w:r w:rsidRPr="00CC5959">
        <w:rPr>
          <w:rFonts w:ascii="Lato" w:hAnsi="Lato"/>
          <w:sz w:val="24"/>
          <w:szCs w:val="24"/>
        </w:rPr>
        <w:t xml:space="preserve"> r. refundacją objęto </w:t>
      </w:r>
      <w:r w:rsidR="00793D7C">
        <w:rPr>
          <w:rFonts w:ascii="Lato" w:hAnsi="Lato"/>
          <w:sz w:val="24"/>
          <w:szCs w:val="24"/>
        </w:rPr>
        <w:t>58</w:t>
      </w:r>
      <w:r w:rsidRPr="00CC5959">
        <w:rPr>
          <w:rFonts w:ascii="Lato" w:hAnsi="Lato"/>
          <w:sz w:val="24"/>
          <w:szCs w:val="24"/>
        </w:rPr>
        <w:t xml:space="preserve"> nowych cząsteczko-wskazań. Podział ze względu na rodzaj wskazań, kategorię dostępności, choroby rzadkie przedstawiono na wykresach poniżej.</w:t>
      </w:r>
    </w:p>
    <w:p w14:paraId="79B534AC" w14:textId="5DC51D24" w:rsidR="005023B3" w:rsidRDefault="00933AE0" w:rsidP="00933991">
      <w:pPr>
        <w:spacing w:after="120" w:line="240" w:lineRule="auto"/>
        <w:jc w:val="both"/>
        <w:textAlignment w:val="auto"/>
        <w:rPr>
          <w:rFonts w:ascii="Lato" w:hAnsi="Lato"/>
          <w:sz w:val="24"/>
          <w:szCs w:val="24"/>
        </w:rPr>
      </w:pPr>
      <w:r>
        <w:rPr>
          <w:noProof/>
          <w14:ligatures w14:val="standardContextual"/>
        </w:rPr>
        <w:lastRenderedPageBreak/>
        <w:drawing>
          <wp:inline distT="0" distB="0" distL="0" distR="0" wp14:anchorId="7A25D115" wp14:editId="726A9D08">
            <wp:extent cx="2962275" cy="2873792"/>
            <wp:effectExtent l="0" t="0" r="9525" b="3175"/>
            <wp:docPr id="6" name="Wykres 6">
              <a:extLst xmlns:a="http://schemas.openxmlformats.org/drawingml/2006/main">
                <a:ext uri="{FF2B5EF4-FFF2-40B4-BE49-F238E27FC236}">
                  <a16:creationId xmlns:a16="http://schemas.microsoft.com/office/drawing/2014/main" id="{EC6264FB-FD58-49E5-89F0-4DFCA70BD40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="00793D7C">
        <w:rPr>
          <w:rFonts w:ascii="Lato" w:hAnsi="Lato"/>
          <w:sz w:val="24"/>
          <w:szCs w:val="24"/>
        </w:rPr>
        <w:t xml:space="preserve"> </w:t>
      </w:r>
      <w:r w:rsidR="00793D7C">
        <w:rPr>
          <w:noProof/>
          <w14:ligatures w14:val="standardContextual"/>
        </w:rPr>
        <w:drawing>
          <wp:inline distT="0" distB="0" distL="0" distR="0" wp14:anchorId="49DFA663" wp14:editId="7F173F54">
            <wp:extent cx="2961005" cy="2872854"/>
            <wp:effectExtent l="0" t="0" r="10795" b="3810"/>
            <wp:docPr id="8" name="Wykres 8">
              <a:extLst xmlns:a="http://schemas.openxmlformats.org/drawingml/2006/main">
                <a:ext uri="{FF2B5EF4-FFF2-40B4-BE49-F238E27FC236}">
                  <a16:creationId xmlns:a16="http://schemas.microsoft.com/office/drawing/2014/main" id="{6B5F9B1B-E4F9-4A2F-8C0A-EDCEDEE59B9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793D7C">
        <w:rPr>
          <w:rFonts w:ascii="Lato" w:hAnsi="Lato"/>
          <w:sz w:val="24"/>
          <w:szCs w:val="24"/>
        </w:rPr>
        <w:t xml:space="preserve"> </w:t>
      </w:r>
      <w:r>
        <w:rPr>
          <w:noProof/>
          <w14:ligatures w14:val="standardContextual"/>
        </w:rPr>
        <w:drawing>
          <wp:inline distT="0" distB="0" distL="0" distR="0" wp14:anchorId="2B06F7ED" wp14:editId="3E0C7485">
            <wp:extent cx="2838450" cy="2863793"/>
            <wp:effectExtent l="0" t="0" r="0" b="13335"/>
            <wp:docPr id="4" name="Wykres 4">
              <a:extLst xmlns:a="http://schemas.openxmlformats.org/drawingml/2006/main">
                <a:ext uri="{FF2B5EF4-FFF2-40B4-BE49-F238E27FC236}">
                  <a16:creationId xmlns:a16="http://schemas.microsoft.com/office/drawing/2014/main" id="{FD90813B-9E6A-4837-A68A-23B083805A6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>
        <w:rPr>
          <w:rFonts w:ascii="Lato" w:hAnsi="Lato"/>
          <w:sz w:val="24"/>
          <w:szCs w:val="24"/>
        </w:rPr>
        <w:t xml:space="preserve"> </w:t>
      </w:r>
    </w:p>
    <w:p w14:paraId="199518DE" w14:textId="3C4F442A" w:rsidR="005023B3" w:rsidRDefault="00933991" w:rsidP="00635695">
      <w:pPr>
        <w:spacing w:line="360" w:lineRule="auto"/>
        <w:jc w:val="both"/>
        <w:textAlignment w:val="auto"/>
        <w:rPr>
          <w:rFonts w:ascii="Lato" w:hAnsi="Lato"/>
        </w:rPr>
      </w:pPr>
      <w:r>
        <w:rPr>
          <w:noProof/>
        </w:rPr>
        <w:drawing>
          <wp:inline distT="0" distB="0" distL="0" distR="0" wp14:anchorId="206F83C8" wp14:editId="711F5EDA">
            <wp:extent cx="4394200" cy="2765425"/>
            <wp:effectExtent l="0" t="0" r="6350" b="15875"/>
            <wp:docPr id="9" name="Wykres 9">
              <a:extLst xmlns:a="http://schemas.openxmlformats.org/drawingml/2006/main">
                <a:ext uri="{FF2B5EF4-FFF2-40B4-BE49-F238E27FC236}">
                  <a16:creationId xmlns:a16="http://schemas.microsoft.com/office/drawing/2014/main" id="{9D137F96-D8BB-4669-93B7-D9F98C88474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>
        <w:rPr>
          <w:rFonts w:ascii="Lato" w:hAnsi="Lato"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13C67D76" wp14:editId="40C7D6BB">
            <wp:extent cx="4400550" cy="2774950"/>
            <wp:effectExtent l="0" t="0" r="0" b="6350"/>
            <wp:docPr id="10" name="Wykres 10">
              <a:extLst xmlns:a="http://schemas.openxmlformats.org/drawingml/2006/main">
                <a:ext uri="{FF2B5EF4-FFF2-40B4-BE49-F238E27FC236}">
                  <a16:creationId xmlns:a16="http://schemas.microsoft.com/office/drawing/2014/main" id="{2DB26032-FA93-4448-8FF7-12D47490A60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="005023B3">
        <w:rPr>
          <w:rFonts w:ascii="Lato" w:hAnsi="Lato"/>
        </w:rPr>
        <w:br w:type="page"/>
      </w:r>
    </w:p>
    <w:p w14:paraId="07E7AF14" w14:textId="77777777" w:rsidR="005023B3" w:rsidRPr="005F7844" w:rsidRDefault="005023B3" w:rsidP="005023B3">
      <w:pPr>
        <w:jc w:val="center"/>
        <w:rPr>
          <w:rFonts w:ascii="Lato" w:hAnsi="Lato"/>
          <w:b/>
          <w:bCs/>
          <w:color w:val="00B0F0"/>
          <w:sz w:val="28"/>
          <w:szCs w:val="28"/>
        </w:rPr>
      </w:pPr>
      <w:r w:rsidRPr="005F7844">
        <w:rPr>
          <w:rFonts w:ascii="Lato" w:hAnsi="Lato"/>
          <w:b/>
          <w:bCs/>
          <w:color w:val="00B0F0"/>
          <w:sz w:val="28"/>
          <w:szCs w:val="28"/>
        </w:rPr>
        <w:lastRenderedPageBreak/>
        <w:t>NOWE WSKAZANIA ORAZ ZMIANY W PROGRAMACH LEKOWYCH i CHEMIOTERAPII</w:t>
      </w:r>
    </w:p>
    <w:tbl>
      <w:tblPr>
        <w:tblW w:w="5000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1550"/>
        <w:gridCol w:w="1771"/>
        <w:gridCol w:w="2051"/>
        <w:gridCol w:w="3302"/>
        <w:gridCol w:w="4745"/>
      </w:tblGrid>
      <w:tr w:rsidR="005023B3" w:rsidRPr="005F7844" w14:paraId="17CBAB88" w14:textId="77777777" w:rsidTr="00767F8E">
        <w:trPr>
          <w:cantSplit/>
          <w:trHeight w:val="186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94C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44F1B" w14:textId="77777777" w:rsidR="005023B3" w:rsidRPr="005F7844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5F7844">
              <w:rPr>
                <w:rFonts w:ascii="Lato" w:hAnsi="Lato" w:cstheme="majorHAnsi"/>
                <w:b/>
                <w:bCs/>
                <w:color w:val="FFFFFF"/>
              </w:rPr>
              <w:t>Programy lekowe i chemioterapia</w:t>
            </w:r>
          </w:p>
        </w:tc>
      </w:tr>
      <w:tr w:rsidR="005023B3" w:rsidRPr="005F7844" w14:paraId="038C31A9" w14:textId="77777777" w:rsidTr="00767F8E">
        <w:trPr>
          <w:cantSplit/>
          <w:trHeight w:val="206"/>
        </w:trPr>
        <w:tc>
          <w:tcPr>
            <w:tcW w:w="5000" w:type="pct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804962" w14:textId="77777777" w:rsidR="005023B3" w:rsidRPr="005F7844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5F7844">
              <w:rPr>
                <w:rFonts w:ascii="Lato" w:hAnsi="Lato" w:cstheme="majorHAnsi"/>
                <w:b/>
                <w:bCs/>
                <w:color w:val="FFFFFF"/>
              </w:rPr>
              <w:t>Nowe wskazania onkologiczne</w:t>
            </w:r>
          </w:p>
        </w:tc>
      </w:tr>
      <w:tr w:rsidR="005023B3" w:rsidRPr="005F7844" w14:paraId="7EFD3E2F" w14:textId="77777777" w:rsidTr="00767F8E">
        <w:trPr>
          <w:cantSplit/>
          <w:trHeight w:val="20"/>
        </w:trPr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9DA04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D9913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leku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B67501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Substancja czynna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347A9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Numer programu lekowego/załącznika chemioterapii</w:t>
            </w:r>
          </w:p>
        </w:tc>
        <w:tc>
          <w:tcPr>
            <w:tcW w:w="1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0DCE2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programu lekowego/ Załącznika chemioterapii</w:t>
            </w:r>
          </w:p>
        </w:tc>
        <w:tc>
          <w:tcPr>
            <w:tcW w:w="1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6CDAE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Doprecyzowanie wskazania</w:t>
            </w:r>
          </w:p>
        </w:tc>
      </w:tr>
      <w:tr w:rsidR="005023B3" w:rsidRPr="005F7844" w14:paraId="26F0BA32" w14:textId="77777777" w:rsidTr="00767F8E">
        <w:trPr>
          <w:cantSplit/>
          <w:trHeight w:val="20"/>
        </w:trPr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79732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03866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Opdivo + Yervoy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075BA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niwolumab + ipilimumab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11DC9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>B.4</w:t>
            </w:r>
          </w:p>
        </w:tc>
        <w:tc>
          <w:tcPr>
            <w:tcW w:w="1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09138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ZAAWANSOWANEGO RAKA JELITA GRUBEGO (ICD-10: C18 – C20)</w:t>
            </w:r>
          </w:p>
        </w:tc>
        <w:tc>
          <w:tcPr>
            <w:tcW w:w="1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FEC16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>Leczenie w II albo III albo IV albo V linii chorych na zaawansowanego raka jelita grubego z potwierdzoną niestabilnością mikrosatelitarną wysokiego stopnia (ang. MSI-H) lub zaburzeniami mechanizmów naprawy uszkodzeń DNA o typie niedopasowania (ang. dMMR) z wykorzystaniem substancji czynnej niwolumab w skojarzeniu z ipilimumabem.</w:t>
            </w:r>
          </w:p>
        </w:tc>
      </w:tr>
      <w:tr w:rsidR="005023B3" w:rsidRPr="005F7844" w14:paraId="4D7F1A8E" w14:textId="77777777" w:rsidTr="00767F8E">
        <w:trPr>
          <w:cantSplit/>
          <w:trHeight w:val="20"/>
        </w:trPr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3DE76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A4DF5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Keytruda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D5180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pembrolizumab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C5665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>B.4</w:t>
            </w:r>
          </w:p>
        </w:tc>
        <w:tc>
          <w:tcPr>
            <w:tcW w:w="1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B31B0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ZAAWANSOWANEGO RAKA JELITA GRUBEGO (ICD-10: C18 – C20)</w:t>
            </w:r>
          </w:p>
        </w:tc>
        <w:tc>
          <w:tcPr>
            <w:tcW w:w="1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E1456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>Leczenie w I linii chorych na zaawansowanego raka jelita grubego z potwierdzoną niestabilnością mikrosatelitarną wysokiego stopnia (ang. MSI-H) lub zaburzeniami mechanizmów naprawy uszkodzeń DNA o typie niedopasowania (ang. dMMR) z wykorzystaniem substancji czynnej pembrolizumab w monoterapii.</w:t>
            </w:r>
          </w:p>
        </w:tc>
      </w:tr>
      <w:tr w:rsidR="005023B3" w:rsidRPr="005F7844" w14:paraId="7F0828B9" w14:textId="77777777" w:rsidTr="00767F8E">
        <w:trPr>
          <w:cantSplit/>
          <w:trHeight w:val="20"/>
        </w:trPr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AA855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88A31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Imfinzi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A2DF3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durwalumab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1AD4C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>B.6</w:t>
            </w:r>
          </w:p>
        </w:tc>
        <w:tc>
          <w:tcPr>
            <w:tcW w:w="1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23DA3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PŁUCA (ICD-10: C34) ORAZ MIĘDZYBŁONIAKA OPŁUCNEJ (ICD-10: C45)</w:t>
            </w:r>
          </w:p>
        </w:tc>
        <w:tc>
          <w:tcPr>
            <w:tcW w:w="1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367F6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>Leczenie w I linii chorych na drobnokomórkowego raka płuca z zastosowaniem durwalumabu (w skojarzeniu z pochodną platyny (cisplatyna lub karboplatyna) i etopozydem w fazie indukcji).</w:t>
            </w:r>
          </w:p>
        </w:tc>
      </w:tr>
      <w:tr w:rsidR="005023B3" w:rsidRPr="005F7844" w14:paraId="31043557" w14:textId="77777777" w:rsidTr="00767F8E">
        <w:trPr>
          <w:cantSplit/>
          <w:trHeight w:val="20"/>
        </w:trPr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F31AC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sz w:val="18"/>
                <w:szCs w:val="18"/>
              </w:rPr>
              <w:t>4.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1860D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Tagrisso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B07038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ozymertynib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E09D5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>B.6</w:t>
            </w:r>
          </w:p>
        </w:tc>
        <w:tc>
          <w:tcPr>
            <w:tcW w:w="1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5C0307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PŁUCA (ICD-10: C34) ORAZ MIĘDZYBŁONIAKA OPŁUCNEJ (ICD-10: C45)</w:t>
            </w:r>
          </w:p>
        </w:tc>
        <w:tc>
          <w:tcPr>
            <w:tcW w:w="1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CE46F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>Leczenie uzupełniające po radykalnej resekcji guza u pacjentów z niedrobnokomórkowym rakiem płuca.</w:t>
            </w:r>
          </w:p>
        </w:tc>
      </w:tr>
      <w:tr w:rsidR="005023B3" w:rsidRPr="005F7844" w14:paraId="11B484CA" w14:textId="77777777" w:rsidTr="00767F8E">
        <w:trPr>
          <w:cantSplit/>
          <w:trHeight w:val="20"/>
        </w:trPr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F1B3B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sz w:val="18"/>
                <w:szCs w:val="18"/>
              </w:rPr>
              <w:t>5.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46AFE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Tagrisso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C973D5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ozymertynib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D790A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>B.6</w:t>
            </w:r>
          </w:p>
        </w:tc>
        <w:tc>
          <w:tcPr>
            <w:tcW w:w="1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9331F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PŁUCA (ICD-10: C34) ORAZ MIĘDZYBŁONIAKA OPŁUCNEJ (ICD-10: C45)</w:t>
            </w:r>
          </w:p>
        </w:tc>
        <w:tc>
          <w:tcPr>
            <w:tcW w:w="1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B18D5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>Leczenie III i kolejnych linii niedrobnokomórkowego raka płuca u pacjentów z potwierdzoną obecnością mutacji T790M w genie EGFR.</w:t>
            </w:r>
          </w:p>
        </w:tc>
      </w:tr>
      <w:tr w:rsidR="005023B3" w:rsidRPr="005F7844" w14:paraId="3191F43C" w14:textId="77777777" w:rsidTr="00767F8E">
        <w:trPr>
          <w:cantSplit/>
          <w:trHeight w:val="20"/>
        </w:trPr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6F1F4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sz w:val="18"/>
                <w:szCs w:val="18"/>
              </w:rPr>
              <w:lastRenderedPageBreak/>
              <w:t>6.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8CFCCE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Libtayo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B122C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cemiplimab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509AF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>B.6</w:t>
            </w:r>
          </w:p>
        </w:tc>
        <w:tc>
          <w:tcPr>
            <w:tcW w:w="1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D16766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PŁUCA (ICD-10: C34) ORAZ MIĘDZYBŁONIAKA OPŁUCNEJ (ICD-10: C45)</w:t>
            </w:r>
          </w:p>
        </w:tc>
        <w:tc>
          <w:tcPr>
            <w:tcW w:w="1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789250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I linii w monoterapii pacjentów z rozsianym niedrobnokomórkowym rakiem płuca o wysokiej ekspresji PD-L1 (Pd-L1 </w:t>
            </w:r>
            <w:r w:rsidRPr="00A77F8C">
              <w:rPr>
                <w:rFonts w:ascii="Cambria Math" w:hAnsi="Cambria Math" w:cs="Cambria Math"/>
                <w:color w:val="000000"/>
                <w:sz w:val="18"/>
                <w:szCs w:val="18"/>
              </w:rPr>
              <w:t>⩾</w:t>
            </w: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50%).</w:t>
            </w:r>
          </w:p>
        </w:tc>
      </w:tr>
      <w:tr w:rsidR="005023B3" w:rsidRPr="005F7844" w14:paraId="079B2F85" w14:textId="77777777" w:rsidTr="00767F8E">
        <w:trPr>
          <w:cantSplit/>
          <w:trHeight w:val="20"/>
        </w:trPr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36E39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sz w:val="18"/>
                <w:szCs w:val="18"/>
              </w:rPr>
              <w:t>7.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86509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Tecentriq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8EC6D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atezolizumab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2E97D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>B.6</w:t>
            </w:r>
          </w:p>
        </w:tc>
        <w:tc>
          <w:tcPr>
            <w:tcW w:w="1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43CB8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PŁUCA (ICD-10: C34) ORAZ MIĘDZYBŁONIAKA OPŁUCNEJ (ICD-10: C45)</w:t>
            </w:r>
          </w:p>
        </w:tc>
        <w:tc>
          <w:tcPr>
            <w:tcW w:w="1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A56A9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I linii w monoterapii pacjentów z rozsianym niedrobnokomórkowym rakiem płuca o wysokiej ekspresji PD-L1 (Pd-L1 </w:t>
            </w:r>
            <w:r w:rsidRPr="00A77F8C">
              <w:rPr>
                <w:rFonts w:ascii="Cambria Math" w:hAnsi="Cambria Math" w:cs="Cambria Math"/>
                <w:color w:val="000000"/>
                <w:sz w:val="18"/>
                <w:szCs w:val="18"/>
              </w:rPr>
              <w:t>⩾</w:t>
            </w: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50%).</w:t>
            </w:r>
          </w:p>
        </w:tc>
      </w:tr>
      <w:tr w:rsidR="005023B3" w:rsidRPr="005F7844" w14:paraId="5FFAE274" w14:textId="77777777" w:rsidTr="00767F8E">
        <w:trPr>
          <w:cantSplit/>
          <w:trHeight w:val="20"/>
        </w:trPr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AB58A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>8.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36BA0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Rozlytrek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4BE47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entrektynib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48BE1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>B.6</w:t>
            </w:r>
          </w:p>
        </w:tc>
        <w:tc>
          <w:tcPr>
            <w:tcW w:w="1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86E14C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PŁUCA (ICD-10: C34) ORAZ MIĘDZYBŁONIAKA OPŁUCNEJ (ICD-10: C45)</w:t>
            </w:r>
          </w:p>
        </w:tc>
        <w:tc>
          <w:tcPr>
            <w:tcW w:w="1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E010B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>Leczenie I lub II linii niedrobnokomórkowego raka płuc u pacjentów z fuzją genu ROS-1 (chorzy z niepowodzeniem wcześniejszej chemioterapii).</w:t>
            </w:r>
          </w:p>
        </w:tc>
      </w:tr>
      <w:tr w:rsidR="005023B3" w:rsidRPr="005F7844" w14:paraId="5244DE10" w14:textId="77777777" w:rsidTr="00767F8E">
        <w:trPr>
          <w:cantSplit/>
          <w:trHeight w:val="20"/>
        </w:trPr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E65B7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sz w:val="18"/>
                <w:szCs w:val="18"/>
              </w:rPr>
              <w:t>9.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0F4B3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Opdivo + Yervoy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83AFD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niwolumab + ipilimumab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BCC15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>B.6</w:t>
            </w:r>
          </w:p>
        </w:tc>
        <w:tc>
          <w:tcPr>
            <w:tcW w:w="1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1291C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PŁUCA (ICD-10: C34) ORAZ MIĘDZYBŁONIAKA OPŁUCNEJ (ICD-10: C45)</w:t>
            </w:r>
          </w:p>
        </w:tc>
        <w:tc>
          <w:tcPr>
            <w:tcW w:w="1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2C4CE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>Leczenie I linii niedrobnokomórkowego raka płuca u pacjentów</w:t>
            </w:r>
            <w:r w:rsidRPr="00A77F8C">
              <w:rPr>
                <w:rFonts w:ascii="Lato" w:hAnsi="Lato"/>
                <w:sz w:val="18"/>
                <w:szCs w:val="18"/>
              </w:rPr>
              <w:t xml:space="preserve"> </w:t>
            </w: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>z ekspresją PD-L1 &lt; 50% z zastosowaniem w skojarzeniu niwolumabu i ipilimumabu w połączeniu z dwoma cyklami chemioterapii.</w:t>
            </w:r>
          </w:p>
        </w:tc>
      </w:tr>
      <w:tr w:rsidR="005023B3" w:rsidRPr="005F7844" w14:paraId="3D304298" w14:textId="77777777" w:rsidTr="00767F8E">
        <w:trPr>
          <w:cantSplit/>
          <w:trHeight w:val="20"/>
        </w:trPr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7F3BD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sz w:val="18"/>
                <w:szCs w:val="18"/>
              </w:rPr>
              <w:t>10.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1E7107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Opdivo + Yervoy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2EB70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niwolumab + ipilimumab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F15FC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>B.6</w:t>
            </w:r>
          </w:p>
        </w:tc>
        <w:tc>
          <w:tcPr>
            <w:tcW w:w="1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B2669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PŁUCA (ICD-10: C34) ORAZ MIĘDZYBŁONIAKA OPŁUCNEJ (ICD-10: C45)</w:t>
            </w:r>
          </w:p>
        </w:tc>
        <w:tc>
          <w:tcPr>
            <w:tcW w:w="1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D5705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>Leczenie I linii pacjentów chorych na nieoperacyjnego złośliwego międzybłoniaka opłucnej niwolumabem w skojarzeniu z ipilimumabem.</w:t>
            </w:r>
          </w:p>
        </w:tc>
      </w:tr>
      <w:tr w:rsidR="005023B3" w:rsidRPr="005F7844" w14:paraId="63376B7D" w14:textId="77777777" w:rsidTr="00767F8E">
        <w:trPr>
          <w:cantSplit/>
          <w:trHeight w:val="20"/>
        </w:trPr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778AA5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sz w:val="18"/>
                <w:szCs w:val="18"/>
              </w:rPr>
              <w:t>11.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EDC72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Minjuvi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BC8AB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tafasytamab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E3E5B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>B.12.FM</w:t>
            </w:r>
          </w:p>
        </w:tc>
        <w:tc>
          <w:tcPr>
            <w:tcW w:w="1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B1B06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CHŁONIAKI B-KOMÓRKOWE (ICD-10: C82, C83, C85)</w:t>
            </w:r>
          </w:p>
        </w:tc>
        <w:tc>
          <w:tcPr>
            <w:tcW w:w="1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899A8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>Leczenie tafasytamabem w skojarzeniu z lenalidomidem dorosłych chorych na opornego/nawrotowego chłoniaka rozlanego z dużych komórek B (DLBCL), niekwalifikujących się do przeszczepienia autologicznych krwiotwórczych komórek macierzystych.</w:t>
            </w:r>
          </w:p>
          <w:p w14:paraId="0B2BB221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Kolejna technologia o wysokim poziomie innowacyjności (TLI)</w:t>
            </w:r>
          </w:p>
          <w:p w14:paraId="265D4547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5023B3" w:rsidRPr="005F7844" w14:paraId="46752920" w14:textId="77777777" w:rsidTr="00767F8E">
        <w:trPr>
          <w:cantSplit/>
          <w:trHeight w:val="20"/>
        </w:trPr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38B2D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sz w:val="18"/>
                <w:szCs w:val="18"/>
              </w:rPr>
              <w:t>12.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F2559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Imbruvica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8A5AB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ibrutynib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85EE6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>B.12.FM</w:t>
            </w:r>
          </w:p>
        </w:tc>
        <w:tc>
          <w:tcPr>
            <w:tcW w:w="1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D65DC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CHŁONIAKI B-KOMÓRKOWE (ICD-10: C82, C83, C85)</w:t>
            </w:r>
          </w:p>
        </w:tc>
        <w:tc>
          <w:tcPr>
            <w:tcW w:w="1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98DA0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>Leczenie ibrutynibem w monoterapii dorosłych chorych na opornego/nawrotowego chłoniaka z komórek płaszcza (MCL).</w:t>
            </w:r>
          </w:p>
          <w:p w14:paraId="61CB11C2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5023B3" w:rsidRPr="005F7844" w14:paraId="42674714" w14:textId="77777777" w:rsidTr="00767F8E">
        <w:trPr>
          <w:cantSplit/>
          <w:trHeight w:val="20"/>
        </w:trPr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78ED0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sz w:val="18"/>
                <w:szCs w:val="18"/>
              </w:rPr>
              <w:lastRenderedPageBreak/>
              <w:t>13.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E8166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Darzalex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71CF8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daratumumab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4F13C3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>B.54</w:t>
            </w:r>
          </w:p>
        </w:tc>
        <w:tc>
          <w:tcPr>
            <w:tcW w:w="1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5E620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SZPICZAKA PLAZMOCYTOWEGO (ICD-10: C90.0)</w:t>
            </w:r>
          </w:p>
        </w:tc>
        <w:tc>
          <w:tcPr>
            <w:tcW w:w="1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A1BA3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>Leczenie I linii daratumumabem w skojarzeniu z bortezomibem, talidomidem i deksametazonem (schemat DVTd) dorosłych pacjentów z uprzednio nieleczonym szpiczakiem plazmocytowym (I linia leczenia), kwalifikujących się do leczenia chemioterapią wysokodawkową z przeszczepieniem autologicznych krwiotwórczych komórek macierzystych.</w:t>
            </w:r>
          </w:p>
          <w:p w14:paraId="47131707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5023B3" w:rsidRPr="005F7844" w14:paraId="27988F8D" w14:textId="77777777" w:rsidTr="00767F8E">
        <w:trPr>
          <w:cantSplit/>
          <w:trHeight w:val="20"/>
        </w:trPr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1E9473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sz w:val="18"/>
                <w:szCs w:val="18"/>
              </w:rPr>
              <w:t>14.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1AC83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Darzalex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3E1ED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daratumumab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F0DBF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>B.54</w:t>
            </w:r>
          </w:p>
        </w:tc>
        <w:tc>
          <w:tcPr>
            <w:tcW w:w="1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F519E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SZPICZAKA PLAZMOCYTOWEGO (ICD-10: C90.0)</w:t>
            </w:r>
          </w:p>
        </w:tc>
        <w:tc>
          <w:tcPr>
            <w:tcW w:w="1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B168E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daratumumabem w skojarzeniu z bortezomibem i deksametazonem (schemat DVd) w II-IV linii leczenia dorosłych chorych na opornego lub nawrotowego szpiczaka plazmocytowego, u których nie stwierdzono oporności na leczenie bortezomibem. </w:t>
            </w:r>
          </w:p>
          <w:p w14:paraId="553D1EAD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(Rozszerzenie aktualnie refundowanego wskazania)</w:t>
            </w:r>
          </w:p>
          <w:p w14:paraId="24CEAB91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5023B3" w:rsidRPr="005F7844" w14:paraId="63430B5A" w14:textId="77777777" w:rsidTr="00767F8E">
        <w:trPr>
          <w:cantSplit/>
          <w:trHeight w:val="20"/>
        </w:trPr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C7DEB4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sz w:val="18"/>
                <w:szCs w:val="18"/>
              </w:rPr>
              <w:t>15.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767FE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Darzalex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D7BD9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daratumumab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252859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>B.54</w:t>
            </w:r>
          </w:p>
        </w:tc>
        <w:tc>
          <w:tcPr>
            <w:tcW w:w="1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9A31D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SZPICZAKA PLAZMOCYTOWEGO (ICD-10: C90.0)</w:t>
            </w:r>
          </w:p>
        </w:tc>
        <w:tc>
          <w:tcPr>
            <w:tcW w:w="1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4385FF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>Leczenie daratumumabem w skojarzeniu z lenalidomidem i deksametazonem (schemat DRd) w II-IV linii leczenia dorosłych chorych na opornego lub nawrotowego szpiczaka plazmocytowego.</w:t>
            </w:r>
          </w:p>
          <w:p w14:paraId="61786838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5023B3" w:rsidRPr="005F7844" w14:paraId="454E6E48" w14:textId="77777777" w:rsidTr="00767F8E">
        <w:trPr>
          <w:cantSplit/>
          <w:trHeight w:val="20"/>
        </w:trPr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761D3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sz w:val="18"/>
                <w:szCs w:val="18"/>
              </w:rPr>
              <w:t>16.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0A53C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b/>
                <w:bCs/>
                <w:sz w:val="18"/>
                <w:szCs w:val="18"/>
              </w:rPr>
              <w:t>Empliciti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FB082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i/>
                <w:iCs/>
                <w:sz w:val="18"/>
                <w:szCs w:val="18"/>
              </w:rPr>
              <w:t>elotuzumab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35089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>B.54</w:t>
            </w:r>
          </w:p>
        </w:tc>
        <w:tc>
          <w:tcPr>
            <w:tcW w:w="1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55211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SZPICZAKA PLAZMOCYTOWEGO (ICD-10: C90.0)</w:t>
            </w:r>
          </w:p>
        </w:tc>
        <w:tc>
          <w:tcPr>
            <w:tcW w:w="1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A15CB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>Leczenie elotuzumabem w skojarzeniu z pomalidomidem i deksametazonem (schemat EloPd) od III linii leczenia dorosłych chorych na opornego lub nawrotowego szpiczaka plazmocytowego.</w:t>
            </w:r>
          </w:p>
          <w:p w14:paraId="4582C864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5023B3" w:rsidRPr="005F7844" w14:paraId="18756F9B" w14:textId="77777777" w:rsidTr="00767F8E">
        <w:trPr>
          <w:cantSplit/>
          <w:trHeight w:val="20"/>
        </w:trPr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9A4B5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sz w:val="18"/>
                <w:szCs w:val="18"/>
              </w:rPr>
              <w:t>17.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0AAD0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Lynparza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5DF87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olaparyb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D2273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>B.56</w:t>
            </w:r>
          </w:p>
        </w:tc>
        <w:tc>
          <w:tcPr>
            <w:tcW w:w="1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F588A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GRUCZOŁU KROKOWEGO (ICD-10: C61)</w:t>
            </w:r>
          </w:p>
        </w:tc>
        <w:tc>
          <w:tcPr>
            <w:tcW w:w="1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479E8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>Leczenie w II albo III linii chorych na opornego na kastrację raka gruczołu krokowego po progresji choroby podczas terapii lekiem hormonalnym nowej generacji oraz obecnością patogennej lub prawdopodobnie patogennej mutacji (germinalnej lub somatycznej) w genie BRCA1 lub BRCA2.</w:t>
            </w:r>
          </w:p>
        </w:tc>
      </w:tr>
      <w:tr w:rsidR="005023B3" w:rsidRPr="005F7844" w14:paraId="361959A3" w14:textId="77777777" w:rsidTr="00767F8E">
        <w:trPr>
          <w:cantSplit/>
          <w:trHeight w:val="20"/>
        </w:trPr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75B3B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sz w:val="18"/>
                <w:szCs w:val="18"/>
              </w:rPr>
              <w:t>18.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3E30B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Erleada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9D32B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apalutamid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16FEF8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>B.56</w:t>
            </w:r>
          </w:p>
        </w:tc>
        <w:tc>
          <w:tcPr>
            <w:tcW w:w="1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074F2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GRUCZOŁU KROKOWEGO (ICD-10: C61)</w:t>
            </w:r>
          </w:p>
        </w:tc>
        <w:tc>
          <w:tcPr>
            <w:tcW w:w="1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31D56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>Leczenie w I linii chorych na wrażliwego na kastrację raka gruczołu krokowego o małym obciążeniu przerzutami (z ang. low volume disease).</w:t>
            </w:r>
          </w:p>
        </w:tc>
      </w:tr>
      <w:tr w:rsidR="005023B3" w:rsidRPr="005F7844" w14:paraId="052194EF" w14:textId="77777777" w:rsidTr="00767F8E">
        <w:trPr>
          <w:cantSplit/>
          <w:trHeight w:val="20"/>
        </w:trPr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0A38D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sz w:val="18"/>
                <w:szCs w:val="18"/>
              </w:rPr>
              <w:lastRenderedPageBreak/>
              <w:t>19.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DF09D4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b/>
                <w:bCs/>
                <w:sz w:val="18"/>
                <w:szCs w:val="18"/>
              </w:rPr>
              <w:t>Cabazitaxel Ever Pharma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8C6EF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i/>
                <w:iCs/>
                <w:sz w:val="18"/>
                <w:szCs w:val="18"/>
              </w:rPr>
              <w:t>kabazytaksel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48C26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sz w:val="18"/>
                <w:szCs w:val="18"/>
              </w:rPr>
              <w:t>B.56</w:t>
            </w:r>
          </w:p>
        </w:tc>
        <w:tc>
          <w:tcPr>
            <w:tcW w:w="1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17907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sz w:val="18"/>
                <w:szCs w:val="18"/>
              </w:rPr>
              <w:t>LECZENIE CHORYCH NA RAKA GRUCZOŁU KROKOWEGO (ICD-10: C61)</w:t>
            </w:r>
          </w:p>
        </w:tc>
        <w:tc>
          <w:tcPr>
            <w:tcW w:w="1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4CD8B0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>Leczenie w I albo II albo III linii chorych na opornego na kastrację raka gruczołu krokowego z przerzutami kabazytakselem, leczonych wcześniej docetakselem.</w:t>
            </w:r>
          </w:p>
        </w:tc>
      </w:tr>
      <w:tr w:rsidR="005023B3" w:rsidRPr="005F7844" w14:paraId="0EC96C8B" w14:textId="77777777" w:rsidTr="00767F8E">
        <w:trPr>
          <w:cantSplit/>
          <w:trHeight w:val="20"/>
        </w:trPr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B42C1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sz w:val="18"/>
                <w:szCs w:val="18"/>
              </w:rPr>
              <w:t>20.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CCD36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Keytruda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98E6C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pembrolizumab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99E2D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>B.58</w:t>
            </w:r>
          </w:p>
        </w:tc>
        <w:tc>
          <w:tcPr>
            <w:tcW w:w="1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5EF20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ZAAWANSOWANEGO RAKA PRZEŁYKU I ŻOŁĄDKA (ICD-10: C15-C16)</w:t>
            </w:r>
          </w:p>
        </w:tc>
        <w:tc>
          <w:tcPr>
            <w:tcW w:w="1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3831A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w I linii chorych </w:t>
            </w:r>
            <w:bookmarkStart w:id="0" w:name="_Hlk90641900"/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>na miejscowo zaawansowanego raka przełyku nieoperacyjnego lub z przerzutami, lub HER-2 ujemnego gruczolakoraka połączenia przełykowo-żołądkowego</w:t>
            </w:r>
            <w:bookmarkEnd w:id="0"/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 wykorzystaniem substancji czynnej pembrolizumab </w:t>
            </w:r>
            <w:bookmarkStart w:id="1" w:name="_Hlk89686969"/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>w skojarzeniu z chemioterapią zawierającą pochodną platyny i fluoropirymidynę</w:t>
            </w:r>
            <w:bookmarkEnd w:id="1"/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5023B3" w:rsidRPr="005F7844" w14:paraId="359F3A5E" w14:textId="77777777" w:rsidTr="00767F8E">
        <w:trPr>
          <w:cantSplit/>
          <w:trHeight w:val="20"/>
        </w:trPr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5B9C8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sz w:val="18"/>
                <w:szCs w:val="18"/>
              </w:rPr>
              <w:t>21.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50AB7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b/>
                <w:bCs/>
                <w:sz w:val="18"/>
                <w:szCs w:val="18"/>
              </w:rPr>
              <w:t>Adcetris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8FF3F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i/>
                <w:iCs/>
                <w:sz w:val="18"/>
                <w:szCs w:val="18"/>
              </w:rPr>
              <w:t>brentuksymab vedotin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4FBE4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>B.66</w:t>
            </w:r>
          </w:p>
        </w:tc>
        <w:tc>
          <w:tcPr>
            <w:tcW w:w="1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011CD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CHŁONIAKI T-KOMÓRKOWE (ICD-10: C84)</w:t>
            </w:r>
          </w:p>
        </w:tc>
        <w:tc>
          <w:tcPr>
            <w:tcW w:w="1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7B33F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>Leczenie brentuksymabem vedotin w skojarzeniu z cyklofosfamidem, doksorubicyną i prednizonem (CHP) w I linii leczenia dorosłych chorych na 13.układowego chłoniaka anaplastycznego z dużych komórek (sALCL).</w:t>
            </w:r>
          </w:p>
          <w:p w14:paraId="1CC4668F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b/>
                <w:bCs/>
                <w:sz w:val="18"/>
                <w:szCs w:val="18"/>
              </w:rPr>
              <w:t>(Choroba rzadka)</w:t>
            </w:r>
          </w:p>
        </w:tc>
      </w:tr>
      <w:tr w:rsidR="005023B3" w:rsidRPr="005F7844" w14:paraId="0C0B9E9D" w14:textId="77777777" w:rsidTr="00767F8E">
        <w:trPr>
          <w:cantSplit/>
          <w:trHeight w:val="20"/>
        </w:trPr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EE764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sz w:val="18"/>
                <w:szCs w:val="18"/>
              </w:rPr>
              <w:t>22.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FA67E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b/>
                <w:bCs/>
                <w:sz w:val="18"/>
                <w:szCs w:val="18"/>
              </w:rPr>
              <w:t>Imbruvica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30E55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i/>
                <w:iCs/>
                <w:sz w:val="18"/>
                <w:szCs w:val="18"/>
              </w:rPr>
              <w:t>ibrutynib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9B590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>B.79</w:t>
            </w:r>
          </w:p>
        </w:tc>
        <w:tc>
          <w:tcPr>
            <w:tcW w:w="1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71142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PRZEWLEKŁĄ BIAŁACZKĘ LIMFOCYTOWĄ (ICD-10: C91.1)</w:t>
            </w:r>
          </w:p>
        </w:tc>
        <w:tc>
          <w:tcPr>
            <w:tcW w:w="1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DD070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ibrutynibem w monoterapii w I linii leczenia dorosłych chorych na przewlekłą białaczkę limfocytową z delecją 17p (del17p) / mutacją w genie </w:t>
            </w:r>
            <w:r w:rsidRPr="00A77F8C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TP53</w:t>
            </w: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(mut</w:t>
            </w:r>
            <w:r w:rsidRPr="00A77F8C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TP53</w:t>
            </w: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) lub niezmutowanym statusem </w:t>
            </w:r>
            <w:r w:rsidRPr="00A77F8C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IgHV.</w:t>
            </w:r>
          </w:p>
          <w:p w14:paraId="5A12531E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5023B3" w:rsidRPr="005F7844" w14:paraId="6DB42E14" w14:textId="77777777" w:rsidTr="00767F8E">
        <w:trPr>
          <w:cantSplit/>
          <w:trHeight w:val="20"/>
        </w:trPr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0920D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sz w:val="18"/>
                <w:szCs w:val="18"/>
              </w:rPr>
              <w:t>23.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7FCC39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b/>
                <w:bCs/>
                <w:sz w:val="18"/>
                <w:szCs w:val="18"/>
              </w:rPr>
              <w:t>Imbruvica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A75D6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i/>
                <w:iCs/>
                <w:sz w:val="18"/>
                <w:szCs w:val="18"/>
              </w:rPr>
              <w:t>ibrutynib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73F06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>B.79</w:t>
            </w:r>
          </w:p>
        </w:tc>
        <w:tc>
          <w:tcPr>
            <w:tcW w:w="1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9B06F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PRZEWLEKŁĄ BIAŁACZKĘ LIMFOCYTOWĄ (ICD-10: C91.1)</w:t>
            </w:r>
          </w:p>
        </w:tc>
        <w:tc>
          <w:tcPr>
            <w:tcW w:w="1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526858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ibrutynibem w monoterapii od II linii leczenia dorosłych chorych na oporną lub nawrotową przewlekłą białaczkę limfocytową, bez względu na status delecji 17p (del17p) / mutacji w genie </w:t>
            </w:r>
            <w:r w:rsidRPr="00A77F8C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TP53</w:t>
            </w: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(mut</w:t>
            </w:r>
            <w:r w:rsidRPr="00A77F8C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TP53</w:t>
            </w: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>).</w:t>
            </w:r>
          </w:p>
          <w:p w14:paraId="5779BF86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(Rozszerzenie aktualnie refundowanego wskazania dla pacjentów bez delecji 17p (del17p) / mutacji w genie </w:t>
            </w:r>
            <w:r w:rsidRPr="00A77F8C">
              <w:rPr>
                <w:rFonts w:ascii="Lato" w:hAnsi="Lato" w:cstheme="majorHAnsi"/>
                <w:b/>
                <w:bCs/>
                <w:i/>
                <w:iCs/>
                <w:color w:val="000000"/>
                <w:sz w:val="18"/>
                <w:szCs w:val="18"/>
              </w:rPr>
              <w:t>TP53</w:t>
            </w:r>
            <w:r w:rsidRPr="00A77F8C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 (mut</w:t>
            </w:r>
            <w:r w:rsidRPr="00A77F8C">
              <w:rPr>
                <w:rFonts w:ascii="Lato" w:hAnsi="Lato" w:cstheme="majorHAnsi"/>
                <w:b/>
                <w:bCs/>
                <w:i/>
                <w:iCs/>
                <w:color w:val="000000"/>
                <w:sz w:val="18"/>
                <w:szCs w:val="18"/>
              </w:rPr>
              <w:t>TP53</w:t>
            </w:r>
            <w:r w:rsidRPr="00A77F8C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))</w:t>
            </w:r>
          </w:p>
          <w:p w14:paraId="74B5636C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5023B3" w:rsidRPr="005F7844" w14:paraId="54DD6D51" w14:textId="77777777" w:rsidTr="00767F8E">
        <w:trPr>
          <w:cantSplit/>
          <w:trHeight w:val="20"/>
        </w:trPr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89B3E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sz w:val="18"/>
                <w:szCs w:val="18"/>
              </w:rPr>
              <w:t>24.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87B9B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b/>
                <w:bCs/>
                <w:sz w:val="18"/>
                <w:szCs w:val="18"/>
              </w:rPr>
              <w:t>Calquence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ABA3B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i/>
                <w:iCs/>
                <w:sz w:val="18"/>
                <w:szCs w:val="18"/>
              </w:rPr>
              <w:t>akalabrutynib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749DE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>B.79</w:t>
            </w:r>
          </w:p>
        </w:tc>
        <w:tc>
          <w:tcPr>
            <w:tcW w:w="1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99AB9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PRZEWLEKŁĄ BIAŁACZKĘ LIMFOCYTOWĄ (ICD-10: C91.1)</w:t>
            </w:r>
          </w:p>
        </w:tc>
        <w:tc>
          <w:tcPr>
            <w:tcW w:w="1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217336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akalabrutynibem w monoterapii w I linii leczenia dorosłych chorych na przewlekłą białaczkę limfocytową z delecją 17p (del17p) / mutacją w genie </w:t>
            </w:r>
            <w:r w:rsidRPr="00A77F8C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TP53</w:t>
            </w: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(mut</w:t>
            </w:r>
            <w:r w:rsidRPr="00A77F8C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TP53</w:t>
            </w: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) lub niezmutowanym statusem </w:t>
            </w:r>
            <w:r w:rsidRPr="00A77F8C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IgHV.</w:t>
            </w:r>
          </w:p>
          <w:p w14:paraId="454DCDD0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5023B3" w:rsidRPr="005F7844" w14:paraId="6810814B" w14:textId="77777777" w:rsidTr="00767F8E">
        <w:trPr>
          <w:cantSplit/>
          <w:trHeight w:val="20"/>
        </w:trPr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7A493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sz w:val="18"/>
                <w:szCs w:val="18"/>
              </w:rPr>
              <w:lastRenderedPageBreak/>
              <w:t>25.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187AD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b/>
                <w:bCs/>
                <w:sz w:val="18"/>
                <w:szCs w:val="18"/>
              </w:rPr>
              <w:t>Calquence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EBD62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i/>
                <w:iCs/>
                <w:sz w:val="18"/>
                <w:szCs w:val="18"/>
              </w:rPr>
              <w:t>akalabrutynib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421A8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>B.79</w:t>
            </w:r>
          </w:p>
        </w:tc>
        <w:tc>
          <w:tcPr>
            <w:tcW w:w="1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C07B1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PRZEWLEKŁĄ BIAŁACZKĘ LIMFOCYTOWĄ (ICD-10: C91.1)</w:t>
            </w:r>
          </w:p>
        </w:tc>
        <w:tc>
          <w:tcPr>
            <w:tcW w:w="1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FED17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akalabrutynibem w monoterapii od II linii leczenia dorosłych chorych na oporną lub nawrotową przewlekłą białaczkę limfocytową z delecją 17p (del17p) / mutacją w genie </w:t>
            </w:r>
            <w:r w:rsidRPr="00A77F8C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TP53</w:t>
            </w: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(mut</w:t>
            </w:r>
            <w:r w:rsidRPr="00A77F8C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TP53</w:t>
            </w: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) oraz dorosłych chorych na oporną lub nawrotową przewlekłą białaczkę limfocytową bez delecji 17p (del17p) / mutacji w genie </w:t>
            </w:r>
            <w:r w:rsidRPr="00A77F8C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TP53</w:t>
            </w: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(mut</w:t>
            </w:r>
            <w:r w:rsidRPr="00A77F8C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TP53)</w:t>
            </w: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>, po wcześniejszym leczeniu wenetoklaksem w skojarzeniu z przeciwciałem anty-CD20 lub w przypadku przeciwwskazań do zastosowania wenetoklaksu z przeciwciałem anty-CD20.</w:t>
            </w:r>
          </w:p>
          <w:p w14:paraId="02A75264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5023B3" w:rsidRPr="005F7844" w14:paraId="02A565C4" w14:textId="77777777" w:rsidTr="00767F8E">
        <w:trPr>
          <w:cantSplit/>
          <w:trHeight w:val="20"/>
        </w:trPr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D1893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sz w:val="18"/>
                <w:szCs w:val="18"/>
              </w:rPr>
              <w:t>26.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4B9B0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Libtayo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45933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cemiplimab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EBF35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>B.88</w:t>
            </w:r>
          </w:p>
        </w:tc>
        <w:tc>
          <w:tcPr>
            <w:tcW w:w="1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8A519C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PACJENTÓW CHORYCH NA RAKA </w:t>
            </w:r>
            <w:r w:rsidRPr="00A77F8C">
              <w:rPr>
                <w:rFonts w:ascii="Lato" w:hAnsi="Lato" w:cstheme="majorHAnsi"/>
                <w:sz w:val="18"/>
                <w:szCs w:val="18"/>
              </w:rPr>
              <w:t>PODSTAWNOKOMÓRKOWEGO</w:t>
            </w: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SKÓRY (ICD-10: C44)</w:t>
            </w:r>
          </w:p>
        </w:tc>
        <w:tc>
          <w:tcPr>
            <w:tcW w:w="1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9A32B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>Leczenie cemiplimabem w II linii leczenia, u pacjentów, u których nastąpiła progresja choroby lub nietolerancja w trakcie terapii inhibitorem szlaku Hedgehog.</w:t>
            </w:r>
          </w:p>
        </w:tc>
      </w:tr>
      <w:tr w:rsidR="005023B3" w:rsidRPr="005F7844" w14:paraId="42E4B037" w14:textId="77777777" w:rsidTr="00767F8E">
        <w:trPr>
          <w:cantSplit/>
          <w:trHeight w:val="20"/>
        </w:trPr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DCC13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sz w:val="18"/>
                <w:szCs w:val="18"/>
              </w:rPr>
              <w:t>27.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AAD67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b/>
                <w:bCs/>
                <w:sz w:val="18"/>
                <w:szCs w:val="18"/>
              </w:rPr>
              <w:t>Onureg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B113F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azacytydyna (postać doustna)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18D02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sz w:val="18"/>
                <w:szCs w:val="18"/>
              </w:rPr>
              <w:t>B.114</w:t>
            </w:r>
          </w:p>
        </w:tc>
        <w:tc>
          <w:tcPr>
            <w:tcW w:w="1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B4783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sz w:val="18"/>
                <w:szCs w:val="18"/>
              </w:rPr>
              <w:t>LECZENIE CHORYCH NA OSTRĄ BIAŁACZKĘ SZPIKOWĄ (ICD-10: C92.0)</w:t>
            </w:r>
          </w:p>
        </w:tc>
        <w:tc>
          <w:tcPr>
            <w:tcW w:w="1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C358DD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>Leczenie podtrzymujące azacytydyną doustną w monoterapii dorosłych chorych na ostrą białaczkę szpikową w potwierdzonej pierwszej całkowitej remisji lub potwierdzonej remisji z niepełną regeneracją morfologii krwi po chemioterapii indukującej albo indukującej i konsolidującej.</w:t>
            </w:r>
          </w:p>
          <w:p w14:paraId="6C34DBE4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5023B3" w:rsidRPr="005F7844" w14:paraId="4F166B23" w14:textId="77777777" w:rsidTr="00767F8E">
        <w:trPr>
          <w:cantSplit/>
          <w:trHeight w:val="20"/>
        </w:trPr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490785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sz w:val="18"/>
                <w:szCs w:val="18"/>
              </w:rPr>
              <w:t>28.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B2557B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Vitrakvi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61331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larotrektynib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B31E4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>B.144</w:t>
            </w:r>
          </w:p>
        </w:tc>
        <w:tc>
          <w:tcPr>
            <w:tcW w:w="1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5D1AB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GUZAMI LITYMI Z FUZJĄ GENU RECEPTOROWEJ KINAZY TYROZYNOWEJ DLA NEUROTROFIN (NTRK)</w:t>
            </w:r>
          </w:p>
        </w:tc>
        <w:tc>
          <w:tcPr>
            <w:tcW w:w="1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95ECC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chorych z różnymi typami nowotworów litych, w przypadku których stwierdza się fuzję genu receptorowej kinazy tyrozynowej dla neurotrofin (NTRK). Leczenie dotyczy pacjentów z nowotworami w stadium miejscowo zaawansowanym lub przerzutowym, u których brak jest możliwości leczenia miejscowego lub jego podjęcie może doprowadzić do poważnych i niekorzystnych następstw zdrowotnych. Dodatkowo terapia jest wskazana w przypadkach wyczerpania innych możliwości oraz w przypadkach braku innych terapii o potwierdzonych korzyściach klinicznych w danym wskazaniu. Kwalifikacja do leczenia będzie przeprowadzana przez Zespół Koordynacyjny. </w:t>
            </w:r>
          </w:p>
        </w:tc>
      </w:tr>
      <w:tr w:rsidR="005023B3" w:rsidRPr="005F7844" w14:paraId="14E39AFA" w14:textId="77777777" w:rsidTr="00767F8E">
        <w:trPr>
          <w:cantSplit/>
          <w:trHeight w:val="20"/>
        </w:trPr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8EBF1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sz w:val="18"/>
                <w:szCs w:val="18"/>
              </w:rPr>
              <w:lastRenderedPageBreak/>
              <w:t>29.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0484E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b/>
                <w:bCs/>
                <w:sz w:val="18"/>
                <w:szCs w:val="18"/>
              </w:rPr>
              <w:t>Różne produkty handlowe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2A451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i/>
                <w:iCs/>
                <w:sz w:val="18"/>
                <w:szCs w:val="18"/>
              </w:rPr>
              <w:t>lenalidomid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E671F1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>C.84.a</w:t>
            </w:r>
          </w:p>
        </w:tc>
        <w:tc>
          <w:tcPr>
            <w:tcW w:w="1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E2570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>LENALIDOMIDUM</w:t>
            </w:r>
          </w:p>
        </w:tc>
        <w:tc>
          <w:tcPr>
            <w:tcW w:w="1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EE8F8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>Leczenie lenalidomidem w skojarzeniu z melfalanem i prednizonem dorosłych pacjentów z nieleczonym uprzednio szpiczakiem plazmocytowym, którzy nie kwalifikują się do przeszczepienia autologicznych krwiotwórczych komórek macierzystych (auto-HSCT).</w:t>
            </w:r>
          </w:p>
          <w:p w14:paraId="509C3D2C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5023B3" w:rsidRPr="005F7844" w14:paraId="084B8ED0" w14:textId="77777777" w:rsidTr="00767F8E">
        <w:trPr>
          <w:cantSplit/>
          <w:trHeight w:val="20"/>
        </w:trPr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D2210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sz w:val="18"/>
                <w:szCs w:val="18"/>
              </w:rPr>
              <w:t>30.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0B753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b/>
                <w:bCs/>
                <w:sz w:val="18"/>
                <w:szCs w:val="18"/>
              </w:rPr>
              <w:t>Różne produkty handlowe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5BA34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i/>
                <w:iCs/>
                <w:sz w:val="18"/>
                <w:szCs w:val="18"/>
              </w:rPr>
              <w:t>lenalidomid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52891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>C.84.a</w:t>
            </w:r>
          </w:p>
        </w:tc>
        <w:tc>
          <w:tcPr>
            <w:tcW w:w="1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22E0D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>LENALIDOMIDUM</w:t>
            </w:r>
          </w:p>
        </w:tc>
        <w:tc>
          <w:tcPr>
            <w:tcW w:w="1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D675D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>Leczenie lenalidomidem w skojarzeniu z deksametazonem dorosłych pacjentów ze szpiczakiem plazmocytowym, u których stosowano uprzednio co najmniej jeden schemat leczenia.</w:t>
            </w:r>
          </w:p>
          <w:p w14:paraId="1EA32EEF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(Rozszerzenie aktualnie refundowanego wskazania)</w:t>
            </w:r>
          </w:p>
          <w:p w14:paraId="754C399F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5023B3" w:rsidRPr="005F7844" w14:paraId="1F5900EC" w14:textId="77777777" w:rsidTr="00767F8E">
        <w:trPr>
          <w:cantSplit/>
          <w:trHeight w:val="20"/>
        </w:trPr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B27364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sz w:val="18"/>
                <w:szCs w:val="18"/>
              </w:rPr>
              <w:t>31.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19527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b/>
                <w:bCs/>
                <w:sz w:val="18"/>
                <w:szCs w:val="18"/>
              </w:rPr>
              <w:t>Różne produkty handlowe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3BA21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i/>
                <w:iCs/>
                <w:sz w:val="18"/>
                <w:szCs w:val="18"/>
              </w:rPr>
              <w:t>lenalidomid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C87056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>C.84.a</w:t>
            </w:r>
          </w:p>
        </w:tc>
        <w:tc>
          <w:tcPr>
            <w:tcW w:w="1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A5FBE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>LENALIDOMIDUM</w:t>
            </w:r>
          </w:p>
        </w:tc>
        <w:tc>
          <w:tcPr>
            <w:tcW w:w="1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7E753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>Leczenie lenalidomidem w monoterapii w leczeniu podtrzymującym dorosłych pacjentów ze szpiczakiem plazmocytowym po przeszczepieniu autologicznych krwiotwórczych komórek macierzystych (auto-HSCT) stosowanych po pierwszej linii leczenia.</w:t>
            </w:r>
          </w:p>
          <w:p w14:paraId="3BC212D3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5023B3" w:rsidRPr="005F7844" w14:paraId="65F28326" w14:textId="77777777" w:rsidTr="00767F8E">
        <w:trPr>
          <w:cantSplit/>
          <w:trHeight w:val="20"/>
        </w:trPr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5102A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sz w:val="18"/>
                <w:szCs w:val="18"/>
              </w:rPr>
              <w:t>32.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9D819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b/>
                <w:bCs/>
                <w:sz w:val="18"/>
                <w:szCs w:val="18"/>
              </w:rPr>
              <w:t>Różne produkty handlowe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423CE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i/>
                <w:iCs/>
                <w:sz w:val="18"/>
                <w:szCs w:val="18"/>
              </w:rPr>
              <w:t>lenalidomid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E5EE4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>C.84.c</w:t>
            </w:r>
          </w:p>
        </w:tc>
        <w:tc>
          <w:tcPr>
            <w:tcW w:w="1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B2E7C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>LENALIDOMIDUM</w:t>
            </w:r>
          </w:p>
        </w:tc>
        <w:tc>
          <w:tcPr>
            <w:tcW w:w="1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34D33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>Leczenie lenalidomidem w skojarzeniu z rytuksymabem dorosłych pacjentów z uprzednio leczonym chłoniakiem grudkowym w stopniu 1-3a.</w:t>
            </w:r>
          </w:p>
          <w:p w14:paraId="2C0564A3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5023B3" w:rsidRPr="005F7844" w14:paraId="6826DF0E" w14:textId="77777777" w:rsidTr="00767F8E">
        <w:trPr>
          <w:cantSplit/>
          <w:trHeight w:val="20"/>
        </w:trPr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E4304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sz w:val="18"/>
                <w:szCs w:val="18"/>
              </w:rPr>
              <w:t>33.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DADC0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b/>
                <w:bCs/>
                <w:sz w:val="18"/>
                <w:szCs w:val="18"/>
              </w:rPr>
              <w:t>Różne produkty handlowe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F4231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lenalidomid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B286A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>C.84.d</w:t>
            </w:r>
          </w:p>
        </w:tc>
        <w:tc>
          <w:tcPr>
            <w:tcW w:w="1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A69D0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sz w:val="18"/>
                <w:szCs w:val="18"/>
              </w:rPr>
              <w:t>LENALIDOMIDUM</w:t>
            </w:r>
          </w:p>
        </w:tc>
        <w:tc>
          <w:tcPr>
            <w:tcW w:w="1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A1B6B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lenalidomidem w skojarzeniu z rytuksymabem dorosłych pacjentów z uprzednio nieleczonym chłoniakiem grudkowym w stopniu 1-3a. </w:t>
            </w:r>
          </w:p>
          <w:p w14:paraId="512A9CF4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(Wskazanie off-label) </w:t>
            </w:r>
          </w:p>
          <w:p w14:paraId="6AD4289C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5023B3" w:rsidRPr="005F7844" w14:paraId="451F01BC" w14:textId="77777777" w:rsidTr="00767F8E">
        <w:trPr>
          <w:cantSplit/>
          <w:trHeight w:val="20"/>
        </w:trPr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81BFD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sz w:val="18"/>
                <w:szCs w:val="18"/>
              </w:rPr>
              <w:t>34.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69513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b/>
                <w:bCs/>
                <w:sz w:val="18"/>
                <w:szCs w:val="18"/>
              </w:rPr>
              <w:t>Różne produkty handlowe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1BD6B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lenalidomid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C583B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sz w:val="18"/>
                <w:szCs w:val="18"/>
              </w:rPr>
              <w:t>C.84.d</w:t>
            </w:r>
          </w:p>
        </w:tc>
        <w:tc>
          <w:tcPr>
            <w:tcW w:w="1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1CFA2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sz w:val="18"/>
                <w:szCs w:val="18"/>
              </w:rPr>
              <w:t>LENALIDOMIDUM</w:t>
            </w:r>
          </w:p>
        </w:tc>
        <w:tc>
          <w:tcPr>
            <w:tcW w:w="1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771F5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>Leczenie lenalidomidem w skojarzeniu z rytuksymabem dorosłych pacjentów z uprzednio leczonymi chłoniakiami strefy brzeżnej.</w:t>
            </w:r>
          </w:p>
          <w:p w14:paraId="4DFBCACD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(Wskazanie off-label) </w:t>
            </w:r>
          </w:p>
          <w:p w14:paraId="4F9FEB9F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5023B3" w:rsidRPr="005F7844" w14:paraId="1EC85DD8" w14:textId="77777777" w:rsidTr="00767F8E">
        <w:trPr>
          <w:cantSplit/>
          <w:trHeight w:val="20"/>
        </w:trPr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2745E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sz w:val="18"/>
                <w:szCs w:val="18"/>
              </w:rPr>
              <w:lastRenderedPageBreak/>
              <w:t>35.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729A3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b/>
                <w:bCs/>
                <w:sz w:val="18"/>
                <w:szCs w:val="18"/>
              </w:rPr>
              <w:t>Różne produkty handlowe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555D35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lenalidomid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591FF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sz w:val="18"/>
                <w:szCs w:val="18"/>
              </w:rPr>
              <w:t>C.84.d</w:t>
            </w:r>
          </w:p>
        </w:tc>
        <w:tc>
          <w:tcPr>
            <w:tcW w:w="1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1EB203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sz w:val="18"/>
                <w:szCs w:val="18"/>
              </w:rPr>
              <w:t>LENALIDOMIDUM</w:t>
            </w:r>
          </w:p>
        </w:tc>
        <w:tc>
          <w:tcPr>
            <w:tcW w:w="1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FF6C8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>Leczenie lenalidomidem w skojarzeniu z rytuksymabem dorosłych pacjentów z nawracającym lub opornym na leczenie chłoniakiem z komórek płaszcza.</w:t>
            </w:r>
          </w:p>
          <w:p w14:paraId="10CB1A65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(Wskazanie off-label) </w:t>
            </w:r>
          </w:p>
          <w:p w14:paraId="5AC04FF5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5023B3" w:rsidRPr="005F7844" w14:paraId="20B22E64" w14:textId="77777777" w:rsidTr="00767F8E">
        <w:trPr>
          <w:cantSplit/>
          <w:trHeight w:val="20"/>
        </w:trPr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C4FA45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sz w:val="18"/>
                <w:szCs w:val="18"/>
              </w:rPr>
              <w:t>36.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1D188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b/>
                <w:bCs/>
                <w:sz w:val="18"/>
                <w:szCs w:val="18"/>
              </w:rPr>
              <w:t>Besremi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0052D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i/>
                <w:iCs/>
                <w:sz w:val="18"/>
                <w:szCs w:val="18"/>
              </w:rPr>
              <w:t>ropeginterferon</w:t>
            </w:r>
          </w:p>
          <w:p w14:paraId="78238714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i/>
                <w:iCs/>
                <w:sz w:val="18"/>
                <w:szCs w:val="18"/>
              </w:rPr>
              <w:t xml:space="preserve"> alfa-2b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021483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>C.85</w:t>
            </w:r>
          </w:p>
        </w:tc>
        <w:tc>
          <w:tcPr>
            <w:tcW w:w="1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D99E03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>ROPEGINTERFERONUM ALFA-2B</w:t>
            </w:r>
          </w:p>
        </w:tc>
        <w:tc>
          <w:tcPr>
            <w:tcW w:w="1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FAA4F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>Leczenie ropeginterferonem alfa-2b pacjentów chorych na czerwienicę prawdziwą, którzy</w:t>
            </w:r>
            <w:r w:rsidRPr="00A77F8C">
              <w:rPr>
                <w:rFonts w:ascii="Lato" w:hAnsi="Lato"/>
                <w:sz w:val="18"/>
                <w:szCs w:val="18"/>
              </w:rPr>
              <w:t xml:space="preserve"> </w:t>
            </w: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>nie odpowiadają na leczenie hydroksymocznikiem lub mają objawy niepożądane, młodych chorych wysokiego ryzyka ze wskazaniami do leczenia cytoredukcyjnego, kobiet w ciąży z czerwienicą prawdziwą wymagających leczenia cytoredukcyjnego.</w:t>
            </w:r>
          </w:p>
          <w:p w14:paraId="75859501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5023B3" w:rsidRPr="005F7844" w14:paraId="11E94409" w14:textId="77777777" w:rsidTr="00767F8E">
        <w:trPr>
          <w:cantSplit/>
          <w:trHeight w:val="20"/>
        </w:trPr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A82E0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sz w:val="18"/>
                <w:szCs w:val="18"/>
              </w:rPr>
              <w:t>37.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BAF55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Różne produkty handlowe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20F58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octan abirateronu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3770A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>C.87.a</w:t>
            </w:r>
          </w:p>
        </w:tc>
        <w:tc>
          <w:tcPr>
            <w:tcW w:w="1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7A8CD4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>OCTAN ABIRATERONU</w:t>
            </w:r>
          </w:p>
        </w:tc>
        <w:tc>
          <w:tcPr>
            <w:tcW w:w="1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984D2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>Leczenia chorych na nowo rozpoznanego hormonowrażliwego raka gruczołu krokowego wysokiego ryzyka z przerzutami (mHSPC).</w:t>
            </w:r>
          </w:p>
        </w:tc>
      </w:tr>
      <w:tr w:rsidR="005023B3" w:rsidRPr="005F7844" w14:paraId="3E87E50B" w14:textId="77777777" w:rsidTr="00767F8E">
        <w:trPr>
          <w:cantSplit/>
          <w:trHeight w:val="20"/>
        </w:trPr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E3B548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sz w:val="18"/>
                <w:szCs w:val="18"/>
              </w:rPr>
              <w:t>38.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AE64D9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Różne produkty handlowe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F9C91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octan abirateronu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6484F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>C.87.b</w:t>
            </w:r>
          </w:p>
        </w:tc>
        <w:tc>
          <w:tcPr>
            <w:tcW w:w="1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0CC40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>OCTAN ABIRATERONU</w:t>
            </w:r>
          </w:p>
        </w:tc>
        <w:tc>
          <w:tcPr>
            <w:tcW w:w="1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788D04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>Leczenia chorych na wrażliwego na kastrację raka gruczołu krokowego z przerzutami (mHSPC) oraz leczenia pacjentów na opornego na kastrację raka gruczołu krokowego bez przerzutów (nmCRPC) z wysokim ryzykiem wystąpienia przerzutów.</w:t>
            </w:r>
          </w:p>
          <w:p w14:paraId="60C69D28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(Wskazanie </w:t>
            </w:r>
            <w:r w:rsidRPr="00A77F8C">
              <w:rPr>
                <w:rFonts w:ascii="Lato" w:hAnsi="Lato" w:cstheme="majorHAnsi"/>
                <w:b/>
                <w:bCs/>
                <w:i/>
                <w:iCs/>
                <w:color w:val="000000"/>
                <w:sz w:val="18"/>
                <w:szCs w:val="18"/>
              </w:rPr>
              <w:t>off-label</w:t>
            </w:r>
            <w:r w:rsidRPr="00A77F8C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5023B3" w:rsidRPr="005F7844" w14:paraId="7D432B13" w14:textId="77777777" w:rsidTr="00767F8E">
        <w:trPr>
          <w:cantSplit/>
          <w:trHeight w:val="20"/>
        </w:trPr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AA4D8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sz w:val="18"/>
                <w:szCs w:val="18"/>
              </w:rPr>
              <w:t>39.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2E81B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b/>
                <w:bCs/>
                <w:sz w:val="18"/>
                <w:szCs w:val="18"/>
              </w:rPr>
              <w:t>Różne produkty handlowe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F348B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sunitynib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F7F14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color w:val="000000"/>
                <w:sz w:val="18"/>
                <w:szCs w:val="18"/>
              </w:rPr>
              <w:t>C.88.b</w:t>
            </w:r>
          </w:p>
        </w:tc>
        <w:tc>
          <w:tcPr>
            <w:tcW w:w="1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B0027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sz w:val="18"/>
                <w:szCs w:val="18"/>
              </w:rPr>
              <w:t>SUNITINIB</w:t>
            </w:r>
          </w:p>
        </w:tc>
        <w:tc>
          <w:tcPr>
            <w:tcW w:w="1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1A280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sz w:val="18"/>
                <w:szCs w:val="18"/>
              </w:rPr>
              <w:t>Leczenie sunitynibem mięsaków tkanek miękkich u pacjentów z samotnym guzem włóknistym (</w:t>
            </w:r>
            <w:r w:rsidRPr="00A77F8C">
              <w:rPr>
                <w:rFonts w:ascii="Lato" w:hAnsi="Lato" w:cstheme="majorHAnsi"/>
                <w:i/>
                <w:iCs/>
                <w:sz w:val="18"/>
                <w:szCs w:val="18"/>
              </w:rPr>
              <w:t>solitary fibrous tumor</w:t>
            </w:r>
            <w:r w:rsidRPr="00A77F8C">
              <w:rPr>
                <w:rFonts w:ascii="Lato" w:hAnsi="Lato" w:cstheme="majorHAnsi"/>
                <w:sz w:val="18"/>
                <w:szCs w:val="18"/>
              </w:rPr>
              <w:t>), a także u wcześniej poddanych chemioterapii pacjentów z mięsakiem naczyniowym (</w:t>
            </w:r>
            <w:r w:rsidRPr="00A77F8C">
              <w:rPr>
                <w:rFonts w:ascii="Lato" w:hAnsi="Lato" w:cstheme="majorHAnsi"/>
                <w:i/>
                <w:iCs/>
                <w:sz w:val="18"/>
                <w:szCs w:val="18"/>
              </w:rPr>
              <w:t>angiosarcoma</w:t>
            </w:r>
            <w:r w:rsidRPr="00A77F8C">
              <w:rPr>
                <w:rFonts w:ascii="Lato" w:hAnsi="Lato" w:cstheme="majorHAnsi"/>
                <w:sz w:val="18"/>
                <w:szCs w:val="18"/>
              </w:rPr>
              <w:t>).</w:t>
            </w:r>
          </w:p>
          <w:p w14:paraId="3B63C32B" w14:textId="77777777" w:rsidR="005023B3" w:rsidRPr="00A77F8C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77F8C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(Wskazanie off-label) </w:t>
            </w:r>
          </w:p>
        </w:tc>
      </w:tr>
    </w:tbl>
    <w:p w14:paraId="14D86BAB" w14:textId="77777777" w:rsidR="005023B3" w:rsidRPr="005F7844" w:rsidRDefault="005023B3" w:rsidP="005023B3">
      <w:pPr>
        <w:suppressAutoHyphens w:val="0"/>
        <w:rPr>
          <w:rFonts w:ascii="Lato" w:hAnsi="Lato"/>
        </w:rPr>
      </w:pPr>
      <w:r w:rsidRPr="005F7844">
        <w:rPr>
          <w:rFonts w:ascii="Lato" w:hAnsi="Lato"/>
        </w:rPr>
        <w:br w:type="page"/>
      </w:r>
    </w:p>
    <w:tbl>
      <w:tblPr>
        <w:tblW w:w="5000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1550"/>
        <w:gridCol w:w="1771"/>
        <w:gridCol w:w="2051"/>
        <w:gridCol w:w="3302"/>
        <w:gridCol w:w="4745"/>
      </w:tblGrid>
      <w:tr w:rsidR="005023B3" w:rsidRPr="005F7844" w14:paraId="25F5FF18" w14:textId="77777777" w:rsidTr="00767F8E">
        <w:trPr>
          <w:trHeight w:val="183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A74B06" w14:textId="77777777" w:rsidR="005023B3" w:rsidRPr="005F7844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5F7844">
              <w:rPr>
                <w:rFonts w:ascii="Lato" w:hAnsi="Lato" w:cstheme="majorHAnsi"/>
                <w:b/>
                <w:bCs/>
                <w:color w:val="FFFFFF"/>
              </w:rPr>
              <w:lastRenderedPageBreak/>
              <w:t>Nowe wskazania nieonkologiczne</w:t>
            </w:r>
          </w:p>
        </w:tc>
      </w:tr>
      <w:tr w:rsidR="005023B3" w:rsidRPr="005F7844" w14:paraId="7B63309B" w14:textId="77777777" w:rsidTr="00767F8E">
        <w:trPr>
          <w:trHeight w:val="628"/>
        </w:trPr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8145B" w14:textId="77777777" w:rsidR="005023B3" w:rsidRPr="005F7844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sz w:val="20"/>
                <w:szCs w:val="20"/>
              </w:rPr>
            </w:pPr>
            <w:r w:rsidRPr="005F7844">
              <w:rPr>
                <w:rFonts w:ascii="Lato" w:hAnsi="Lato" w:cstheme="majorHAnsi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41E2B2" w14:textId="77777777" w:rsidR="005023B3" w:rsidRPr="005F7844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sz w:val="20"/>
                <w:szCs w:val="20"/>
              </w:rPr>
            </w:pPr>
            <w:r w:rsidRPr="005F7844">
              <w:rPr>
                <w:rFonts w:ascii="Lato" w:hAnsi="Lato" w:cstheme="majorHAnsi"/>
                <w:b/>
                <w:bCs/>
                <w:color w:val="000000"/>
                <w:sz w:val="20"/>
                <w:szCs w:val="20"/>
              </w:rPr>
              <w:t>Nazwa leku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26EE7" w14:textId="77777777" w:rsidR="005023B3" w:rsidRPr="005F7844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sz w:val="20"/>
                <w:szCs w:val="20"/>
              </w:rPr>
            </w:pPr>
            <w:r w:rsidRPr="005F7844">
              <w:rPr>
                <w:rFonts w:ascii="Lato" w:hAnsi="Lato" w:cstheme="majorHAnsi"/>
                <w:b/>
                <w:bCs/>
                <w:color w:val="000000"/>
                <w:sz w:val="20"/>
                <w:szCs w:val="20"/>
              </w:rPr>
              <w:t>Substancja czynna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55C25" w14:textId="77777777" w:rsidR="005023B3" w:rsidRPr="005F7844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sz w:val="20"/>
                <w:szCs w:val="20"/>
              </w:rPr>
            </w:pPr>
            <w:r w:rsidRPr="005F7844">
              <w:rPr>
                <w:rFonts w:ascii="Lato" w:hAnsi="Lato" w:cstheme="majorHAnsi"/>
                <w:b/>
                <w:bCs/>
                <w:color w:val="000000"/>
                <w:sz w:val="20"/>
                <w:szCs w:val="20"/>
              </w:rPr>
              <w:t>Numer programu lekowego/załącznika chemioterapii</w:t>
            </w:r>
          </w:p>
        </w:tc>
        <w:tc>
          <w:tcPr>
            <w:tcW w:w="1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CFB8B" w14:textId="77777777" w:rsidR="005023B3" w:rsidRPr="005F7844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sz w:val="20"/>
                <w:szCs w:val="20"/>
              </w:rPr>
            </w:pPr>
            <w:r w:rsidRPr="005F7844">
              <w:rPr>
                <w:rFonts w:ascii="Lato" w:hAnsi="Lato" w:cstheme="majorHAnsi"/>
                <w:b/>
                <w:bCs/>
                <w:color w:val="000000"/>
                <w:sz w:val="20"/>
                <w:szCs w:val="20"/>
              </w:rPr>
              <w:t>Nazwa programu lekowego/ Załącznika chemioterapii</w:t>
            </w:r>
          </w:p>
        </w:tc>
        <w:tc>
          <w:tcPr>
            <w:tcW w:w="1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ABFF7" w14:textId="77777777" w:rsidR="005023B3" w:rsidRPr="005F7844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sz w:val="20"/>
                <w:szCs w:val="20"/>
              </w:rPr>
            </w:pPr>
            <w:r w:rsidRPr="005F7844">
              <w:rPr>
                <w:rFonts w:ascii="Lato" w:hAnsi="Lato" w:cstheme="majorHAnsi"/>
                <w:b/>
                <w:bCs/>
                <w:color w:val="000000"/>
                <w:sz w:val="20"/>
                <w:szCs w:val="20"/>
              </w:rPr>
              <w:t>Doprecyzowanie wskazania</w:t>
            </w:r>
          </w:p>
        </w:tc>
      </w:tr>
      <w:tr w:rsidR="005023B3" w:rsidRPr="005F7844" w14:paraId="1C7D1D77" w14:textId="77777777" w:rsidTr="00767F8E">
        <w:trPr>
          <w:trHeight w:val="20"/>
        </w:trPr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CAE42" w14:textId="77777777" w:rsidR="005023B3" w:rsidRPr="000F4539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F4539">
              <w:rPr>
                <w:rFonts w:ascii="Lato" w:hAnsi="Lato" w:cstheme="majorHAns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5EEDF" w14:textId="77777777" w:rsidR="005023B3" w:rsidRPr="000F4539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0F4539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Adynovi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9B323" w14:textId="77777777" w:rsidR="005023B3" w:rsidRPr="000F4539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0F4539">
              <w:rPr>
                <w:rFonts w:ascii="Lato" w:hAnsi="Lato"/>
                <w:i/>
                <w:iCs/>
                <w:sz w:val="18"/>
                <w:szCs w:val="18"/>
              </w:rPr>
              <w:t>rurioktokog alfa pegol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9FC30" w14:textId="77777777" w:rsidR="005023B3" w:rsidRPr="000F4539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F4539">
              <w:rPr>
                <w:rFonts w:ascii="Lato" w:hAnsi="Lato" w:cstheme="majorHAnsi"/>
                <w:color w:val="000000"/>
                <w:sz w:val="18"/>
                <w:szCs w:val="18"/>
              </w:rPr>
              <w:t>B.15</w:t>
            </w:r>
          </w:p>
        </w:tc>
        <w:tc>
          <w:tcPr>
            <w:tcW w:w="1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C994D" w14:textId="77777777" w:rsidR="005023B3" w:rsidRPr="000F4539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F4539">
              <w:rPr>
                <w:rFonts w:ascii="Lato" w:hAnsi="Lato" w:cstheme="majorHAnsi"/>
                <w:sz w:val="18"/>
                <w:szCs w:val="18"/>
              </w:rPr>
              <w:t>ZAPOBIEGANIE KRWAWIENIOM U DZIECI Z HEMOFILIĄ A I B (ICD-10: D66, D67)</w:t>
            </w:r>
          </w:p>
        </w:tc>
        <w:tc>
          <w:tcPr>
            <w:tcW w:w="1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1ECF9" w14:textId="77777777" w:rsidR="005023B3" w:rsidRPr="000F4539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F4539">
              <w:rPr>
                <w:rFonts w:ascii="Lato" w:hAnsi="Lato" w:cstheme="majorHAnsi"/>
                <w:color w:val="000000"/>
                <w:sz w:val="18"/>
                <w:szCs w:val="18"/>
              </w:rPr>
              <w:t>Leczenie i profilaktyka krwawień u pacjentów w wieku 12 lat i powyżej z hemofilią A.</w:t>
            </w:r>
          </w:p>
          <w:p w14:paraId="195CE9AC" w14:textId="77777777" w:rsidR="005023B3" w:rsidRPr="000F4539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F4539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5023B3" w:rsidRPr="005F7844" w14:paraId="3ECE892A" w14:textId="77777777" w:rsidTr="00767F8E">
        <w:trPr>
          <w:trHeight w:val="20"/>
        </w:trPr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017A1" w14:textId="77777777" w:rsidR="005023B3" w:rsidRPr="000F4539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F4539">
              <w:rPr>
                <w:rFonts w:ascii="Lato" w:hAnsi="Lato" w:cstheme="majorHAns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73435" w14:textId="77777777" w:rsidR="005023B3" w:rsidRPr="000F4539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0F4539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Skyrizi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AC259" w14:textId="77777777" w:rsidR="005023B3" w:rsidRPr="000F4539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0F4539">
              <w:rPr>
                <w:rFonts w:ascii="Lato" w:hAnsi="Lato"/>
                <w:i/>
                <w:iCs/>
                <w:sz w:val="18"/>
                <w:szCs w:val="18"/>
              </w:rPr>
              <w:t>ryzankizumab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1EBC28" w14:textId="77777777" w:rsidR="005023B3" w:rsidRPr="000F4539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F4539">
              <w:rPr>
                <w:rFonts w:ascii="Lato" w:hAnsi="Lato" w:cstheme="majorHAnsi"/>
                <w:color w:val="000000"/>
                <w:sz w:val="18"/>
                <w:szCs w:val="18"/>
              </w:rPr>
              <w:t>B.35</w:t>
            </w:r>
          </w:p>
        </w:tc>
        <w:tc>
          <w:tcPr>
            <w:tcW w:w="1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50CB1" w14:textId="77777777" w:rsidR="005023B3" w:rsidRPr="000F4539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F4539">
              <w:rPr>
                <w:rFonts w:ascii="Lato" w:hAnsi="Lato" w:cstheme="majorHAnsi"/>
                <w:sz w:val="18"/>
                <w:szCs w:val="18"/>
              </w:rPr>
              <w:t>LECZENIE CHORYCH Z ŁUSZCZYCOWYM ZAPALENIEM STAWÓW (ŁZS) (ICD-10: L40.5, M07.1, M07.2, M07.3)</w:t>
            </w:r>
          </w:p>
        </w:tc>
        <w:tc>
          <w:tcPr>
            <w:tcW w:w="1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4CB0E" w14:textId="77777777" w:rsidR="005023B3" w:rsidRPr="000F4539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F4539">
              <w:rPr>
                <w:rFonts w:ascii="Lato" w:hAnsi="Lato" w:cstheme="majorHAnsi"/>
                <w:color w:val="000000"/>
                <w:sz w:val="18"/>
                <w:szCs w:val="18"/>
              </w:rPr>
              <w:t>Leczenie chorych z łuszczycowym zapaleniem stawów kolejnym inhibitorem interleukin.</w:t>
            </w:r>
          </w:p>
        </w:tc>
      </w:tr>
      <w:tr w:rsidR="005023B3" w:rsidRPr="005F7844" w14:paraId="33FD72AE" w14:textId="77777777" w:rsidTr="00767F8E">
        <w:trPr>
          <w:trHeight w:val="20"/>
        </w:trPr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0E920" w14:textId="77777777" w:rsidR="005023B3" w:rsidRPr="000F4539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F4539">
              <w:rPr>
                <w:rFonts w:ascii="Lato" w:hAnsi="Lato" w:cstheme="majorHAns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C346F" w14:textId="77777777" w:rsidR="005023B3" w:rsidRPr="000F4539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0F4539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Tremfya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46EEC" w14:textId="77777777" w:rsidR="005023B3" w:rsidRPr="000F4539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0F4539">
              <w:rPr>
                <w:rFonts w:ascii="Lato" w:hAnsi="Lato" w:cs="Calibri Light"/>
                <w:i/>
                <w:iCs/>
                <w:sz w:val="18"/>
                <w:szCs w:val="18"/>
              </w:rPr>
              <w:t>guselkumab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04373" w14:textId="77777777" w:rsidR="005023B3" w:rsidRPr="000F4539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F4539">
              <w:rPr>
                <w:rFonts w:ascii="Lato" w:hAnsi="Lato" w:cstheme="majorHAnsi"/>
                <w:color w:val="000000"/>
                <w:sz w:val="18"/>
                <w:szCs w:val="18"/>
              </w:rPr>
              <w:t>B.35</w:t>
            </w:r>
          </w:p>
        </w:tc>
        <w:tc>
          <w:tcPr>
            <w:tcW w:w="1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88C50" w14:textId="77777777" w:rsidR="005023B3" w:rsidRPr="000F4539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F4539">
              <w:rPr>
                <w:rFonts w:ascii="Lato" w:hAnsi="Lato" w:cstheme="majorHAnsi"/>
                <w:sz w:val="18"/>
                <w:szCs w:val="18"/>
              </w:rPr>
              <w:t>LECZENIE CHORYCH Z ŁUSZCZYCOWYM ZAPALENIEM STAWÓW (ŁZS) (ICD-10: L40.5, M07.1, M07.2, M07.3)</w:t>
            </w:r>
          </w:p>
        </w:tc>
        <w:tc>
          <w:tcPr>
            <w:tcW w:w="1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BA45D" w14:textId="77777777" w:rsidR="005023B3" w:rsidRPr="000F4539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F4539">
              <w:rPr>
                <w:rFonts w:ascii="Lato" w:hAnsi="Lato" w:cstheme="majorHAnsi"/>
                <w:color w:val="000000"/>
                <w:sz w:val="18"/>
                <w:szCs w:val="18"/>
              </w:rPr>
              <w:t>Leczenie chorych z łuszczycowym zapaleniem stawów kolejnym inhibitorem interleukin.</w:t>
            </w:r>
          </w:p>
        </w:tc>
      </w:tr>
      <w:tr w:rsidR="005023B3" w:rsidRPr="005F7844" w14:paraId="21D20AED" w14:textId="77777777" w:rsidTr="00767F8E">
        <w:trPr>
          <w:trHeight w:val="20"/>
        </w:trPr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55075" w14:textId="77777777" w:rsidR="005023B3" w:rsidRPr="000F4539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F4539">
              <w:rPr>
                <w:rFonts w:ascii="Lato" w:hAnsi="Lato" w:cstheme="majorHAnsi"/>
                <w:color w:val="000000"/>
                <w:sz w:val="18"/>
                <w:szCs w:val="18"/>
              </w:rPr>
              <w:t>4.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C6AC7" w14:textId="77777777" w:rsidR="005023B3" w:rsidRPr="000F4539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0F4539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Synagis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918B5" w14:textId="77777777" w:rsidR="005023B3" w:rsidRPr="000F4539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0F4539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paliwizumab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658503" w14:textId="77777777" w:rsidR="005023B3" w:rsidRPr="000F4539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F4539">
              <w:rPr>
                <w:rFonts w:ascii="Lato" w:hAnsi="Lato" w:cstheme="majorHAnsi"/>
                <w:color w:val="000000"/>
                <w:sz w:val="18"/>
                <w:szCs w:val="18"/>
              </w:rPr>
              <w:t>B.40</w:t>
            </w:r>
          </w:p>
        </w:tc>
        <w:tc>
          <w:tcPr>
            <w:tcW w:w="1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C92D7" w14:textId="77777777" w:rsidR="005023B3" w:rsidRPr="000F4539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F4539">
              <w:rPr>
                <w:rFonts w:ascii="Lato" w:hAnsi="Lato" w:cstheme="majorHAnsi"/>
                <w:color w:val="000000"/>
                <w:sz w:val="18"/>
                <w:szCs w:val="18"/>
              </w:rPr>
              <w:t>PROFILAKTYKA ZAKAŻEŃ WIRUSEM RS (ICD-10: P07.2, P07.3, P27.1, P07.0, P07.1, Q20-Q24)</w:t>
            </w:r>
          </w:p>
        </w:tc>
        <w:tc>
          <w:tcPr>
            <w:tcW w:w="1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A1846" w14:textId="77777777" w:rsidR="005023B3" w:rsidRPr="000F4539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F4539">
              <w:rPr>
                <w:rFonts w:ascii="Lato" w:hAnsi="Lato" w:cstheme="majorHAnsi"/>
                <w:color w:val="000000"/>
                <w:sz w:val="18"/>
                <w:szCs w:val="18"/>
              </w:rPr>
              <w:t>Profilaktyka zakażeń wirusem RS u pacjentów z hemodynamicznie istotną wadą serca z jawną niewydolnością serca utrzymującą się pomimo leczenia farmakologicznego, umiarkowanym lub ciężkim wtórnym nadciśnieniem płucnym lub sinicznymi wadami serca z przezskórnym utlenowaniem krwi tętniczej utrzymującej się oraz u dzieci urodzone w wieku ciążowym ≤ 35 tygodni o masie urodzeniowej ≤ 1500 g.</w:t>
            </w:r>
          </w:p>
        </w:tc>
      </w:tr>
      <w:tr w:rsidR="005023B3" w:rsidRPr="005F7844" w14:paraId="20D48B9A" w14:textId="77777777" w:rsidTr="00767F8E">
        <w:trPr>
          <w:trHeight w:val="20"/>
        </w:trPr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9E33E" w14:textId="77777777" w:rsidR="005023B3" w:rsidRPr="000F4539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F4539">
              <w:rPr>
                <w:rFonts w:ascii="Lato" w:hAnsi="Lato" w:cstheme="majorHAnsi"/>
                <w:color w:val="000000"/>
                <w:sz w:val="18"/>
                <w:szCs w:val="18"/>
              </w:rPr>
              <w:t>5.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F7D64" w14:textId="77777777" w:rsidR="005023B3" w:rsidRPr="000F4539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0F4539">
              <w:rPr>
                <w:rFonts w:ascii="Lato" w:hAnsi="Lato" w:cstheme="majorHAnsi"/>
                <w:b/>
                <w:bCs/>
                <w:sz w:val="18"/>
                <w:szCs w:val="18"/>
              </w:rPr>
              <w:t>Bimzelx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A4430" w14:textId="77777777" w:rsidR="005023B3" w:rsidRPr="000F4539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0F4539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bimekizumab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6BDA1" w14:textId="77777777" w:rsidR="005023B3" w:rsidRPr="000F4539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F4539">
              <w:rPr>
                <w:rFonts w:ascii="Lato" w:hAnsi="Lato" w:cstheme="majorHAnsi"/>
                <w:color w:val="000000"/>
                <w:sz w:val="18"/>
                <w:szCs w:val="18"/>
              </w:rPr>
              <w:t>B.47</w:t>
            </w:r>
          </w:p>
        </w:tc>
        <w:tc>
          <w:tcPr>
            <w:tcW w:w="1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59B4F" w14:textId="77777777" w:rsidR="005023B3" w:rsidRPr="000F4539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F4539">
              <w:rPr>
                <w:rFonts w:ascii="Lato" w:hAnsi="Lato" w:cstheme="majorHAnsi"/>
                <w:color w:val="000000"/>
                <w:sz w:val="18"/>
                <w:szCs w:val="18"/>
              </w:rPr>
              <w:t>LECZENIE UMIARKOWANEJ I CIĘŻKIEJ POSTACI ŁUSZCZYCY PLACKOWATEJ (ICD-10: L40.0)</w:t>
            </w:r>
          </w:p>
        </w:tc>
        <w:tc>
          <w:tcPr>
            <w:tcW w:w="1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40D07" w14:textId="77777777" w:rsidR="005023B3" w:rsidRPr="000F4539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F4539">
              <w:rPr>
                <w:rFonts w:ascii="Lato" w:hAnsi="Lato" w:cstheme="majorHAnsi"/>
                <w:color w:val="000000"/>
                <w:sz w:val="18"/>
                <w:szCs w:val="18"/>
              </w:rPr>
              <w:t>Leczenie ciężkiej i umiarkowanej postaci łuszczycy bez ograniczeń czasowych u pacjentów powyżej 18 roku życia.</w:t>
            </w:r>
          </w:p>
        </w:tc>
      </w:tr>
      <w:tr w:rsidR="005023B3" w:rsidRPr="005F7844" w14:paraId="236BEA90" w14:textId="77777777" w:rsidTr="00767F8E">
        <w:trPr>
          <w:trHeight w:val="20"/>
        </w:trPr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C666B" w14:textId="77777777" w:rsidR="005023B3" w:rsidRPr="000F4539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F4539">
              <w:rPr>
                <w:rFonts w:ascii="Lato" w:hAnsi="Lato" w:cstheme="majorHAnsi"/>
                <w:color w:val="000000"/>
                <w:sz w:val="18"/>
                <w:szCs w:val="18"/>
              </w:rPr>
              <w:t>6.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1D7AF" w14:textId="77777777" w:rsidR="005023B3" w:rsidRPr="000F4539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0F4539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Cosentyx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C32FC" w14:textId="77777777" w:rsidR="005023B3" w:rsidRPr="000F4539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0F4539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sekukinumab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CC24A" w14:textId="77777777" w:rsidR="005023B3" w:rsidRPr="000F4539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F4539">
              <w:rPr>
                <w:rFonts w:ascii="Lato" w:hAnsi="Lato" w:cstheme="majorHAnsi"/>
                <w:color w:val="000000"/>
                <w:sz w:val="18"/>
                <w:szCs w:val="18"/>
              </w:rPr>
              <w:t>B.47</w:t>
            </w:r>
          </w:p>
        </w:tc>
        <w:tc>
          <w:tcPr>
            <w:tcW w:w="1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67B6E" w14:textId="77777777" w:rsidR="005023B3" w:rsidRPr="000F4539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F4539">
              <w:rPr>
                <w:rFonts w:ascii="Lato" w:hAnsi="Lato" w:cstheme="majorHAnsi"/>
                <w:color w:val="000000"/>
                <w:sz w:val="18"/>
                <w:szCs w:val="18"/>
              </w:rPr>
              <w:t>LECZENIE UMIARKOWANEJ I CIĘŻKIEJ POSTACI ŁUSZCZYCY PLACKOWATEJ (ICD-10: L40.0)</w:t>
            </w:r>
          </w:p>
        </w:tc>
        <w:tc>
          <w:tcPr>
            <w:tcW w:w="1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A1031" w14:textId="77777777" w:rsidR="005023B3" w:rsidRPr="000F4539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F4539">
              <w:rPr>
                <w:rFonts w:ascii="Lato" w:hAnsi="Lato" w:cstheme="majorHAnsi"/>
                <w:color w:val="000000"/>
                <w:sz w:val="18"/>
                <w:szCs w:val="18"/>
              </w:rPr>
              <w:t>Rozszerzenie wskazania o umiarkowaną postać łuszczycy plackowatej, zniesienie limitu czasu leczenia oraz objęcie refundacją pacjentów powyżej 6 roku życia.</w:t>
            </w:r>
          </w:p>
        </w:tc>
      </w:tr>
      <w:tr w:rsidR="005023B3" w:rsidRPr="005F7844" w14:paraId="641596C8" w14:textId="77777777" w:rsidTr="00767F8E">
        <w:trPr>
          <w:trHeight w:val="20"/>
        </w:trPr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26A14" w14:textId="77777777" w:rsidR="005023B3" w:rsidRPr="000F4539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F4539">
              <w:rPr>
                <w:rFonts w:ascii="Lato" w:hAnsi="Lato" w:cstheme="majorHAnsi"/>
                <w:color w:val="000000"/>
                <w:sz w:val="18"/>
                <w:szCs w:val="18"/>
              </w:rPr>
              <w:t>7.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C8451" w14:textId="77777777" w:rsidR="005023B3" w:rsidRPr="000F4539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0F4539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Skyrizi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CE56C" w14:textId="77777777" w:rsidR="005023B3" w:rsidRPr="000F4539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0F4539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risankizumab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A63CE" w14:textId="77777777" w:rsidR="005023B3" w:rsidRPr="000F4539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F4539">
              <w:rPr>
                <w:rFonts w:ascii="Lato" w:hAnsi="Lato" w:cstheme="majorHAnsi"/>
                <w:color w:val="000000"/>
                <w:sz w:val="18"/>
                <w:szCs w:val="18"/>
              </w:rPr>
              <w:t>B.47</w:t>
            </w:r>
          </w:p>
        </w:tc>
        <w:tc>
          <w:tcPr>
            <w:tcW w:w="1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3D48B" w14:textId="77777777" w:rsidR="005023B3" w:rsidRPr="000F4539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F4539">
              <w:rPr>
                <w:rFonts w:ascii="Lato" w:hAnsi="Lato" w:cstheme="majorHAnsi"/>
                <w:color w:val="000000"/>
                <w:sz w:val="18"/>
                <w:szCs w:val="18"/>
              </w:rPr>
              <w:t>LECZENIE UMIARKOWANEJ I CIĘŻKIEJ POSTACI ŁUSZCZYCY PLACKOWATEJ (ICD-10: L40.0)</w:t>
            </w:r>
          </w:p>
        </w:tc>
        <w:tc>
          <w:tcPr>
            <w:tcW w:w="1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D91F7" w14:textId="77777777" w:rsidR="005023B3" w:rsidRPr="000F4539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F4539">
              <w:rPr>
                <w:rFonts w:ascii="Lato" w:hAnsi="Lato" w:cstheme="majorHAnsi"/>
                <w:color w:val="000000"/>
                <w:sz w:val="18"/>
                <w:szCs w:val="18"/>
              </w:rPr>
              <w:t>Rozszerzenie wskazania o umiarkowaną postać łuszczycy plackowatej  i zniesienie limitu czasu leczenia.</w:t>
            </w:r>
          </w:p>
        </w:tc>
      </w:tr>
      <w:tr w:rsidR="005023B3" w:rsidRPr="005F7844" w14:paraId="2B72B3DA" w14:textId="77777777" w:rsidTr="00767F8E">
        <w:trPr>
          <w:trHeight w:val="20"/>
        </w:trPr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65FA2" w14:textId="77777777" w:rsidR="005023B3" w:rsidRPr="000F4539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F4539">
              <w:rPr>
                <w:rFonts w:ascii="Lato" w:hAnsi="Lato" w:cstheme="majorHAnsi"/>
                <w:color w:val="000000"/>
                <w:sz w:val="18"/>
                <w:szCs w:val="18"/>
              </w:rPr>
              <w:lastRenderedPageBreak/>
              <w:t>8.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F8FAF" w14:textId="77777777" w:rsidR="005023B3" w:rsidRPr="000F4539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0F4539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Tremfya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C81181" w14:textId="77777777" w:rsidR="005023B3" w:rsidRPr="000F4539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0F4539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guselkumab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544F0B" w14:textId="77777777" w:rsidR="005023B3" w:rsidRPr="000F4539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F4539">
              <w:rPr>
                <w:rFonts w:ascii="Lato" w:hAnsi="Lato" w:cstheme="majorHAnsi"/>
                <w:color w:val="000000"/>
                <w:sz w:val="18"/>
                <w:szCs w:val="18"/>
              </w:rPr>
              <w:t>B.47</w:t>
            </w:r>
          </w:p>
        </w:tc>
        <w:tc>
          <w:tcPr>
            <w:tcW w:w="1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90FEB" w14:textId="77777777" w:rsidR="005023B3" w:rsidRPr="000F4539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F4539">
              <w:rPr>
                <w:rFonts w:ascii="Lato" w:hAnsi="Lato" w:cstheme="majorHAnsi"/>
                <w:color w:val="000000"/>
                <w:sz w:val="18"/>
                <w:szCs w:val="18"/>
              </w:rPr>
              <w:t>LECZENIE UMIARKOWANEJ I CIĘŻKIEJ POSTACI ŁUSZCZYCY PLACKOWATEJ (ICD-10: L40.0)</w:t>
            </w:r>
          </w:p>
        </w:tc>
        <w:tc>
          <w:tcPr>
            <w:tcW w:w="1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489AF" w14:textId="77777777" w:rsidR="005023B3" w:rsidRPr="000F4539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F4539">
              <w:rPr>
                <w:rFonts w:ascii="Lato" w:hAnsi="Lato" w:cstheme="majorHAnsi"/>
                <w:color w:val="000000"/>
                <w:sz w:val="18"/>
                <w:szCs w:val="18"/>
              </w:rPr>
              <w:t>Rozszerzenie wskazania o umiarkowaną postać łuszczycy plackowatej  i zniesienie limitu czasu leczenia.</w:t>
            </w:r>
          </w:p>
        </w:tc>
      </w:tr>
      <w:tr w:rsidR="005023B3" w:rsidRPr="005F7844" w14:paraId="62896BAA" w14:textId="77777777" w:rsidTr="00767F8E">
        <w:trPr>
          <w:trHeight w:val="20"/>
        </w:trPr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A6B4A" w14:textId="77777777" w:rsidR="005023B3" w:rsidRPr="000F4539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F4539">
              <w:rPr>
                <w:rFonts w:ascii="Lato" w:hAnsi="Lato" w:cstheme="majorHAnsi"/>
                <w:color w:val="000000"/>
                <w:sz w:val="18"/>
                <w:szCs w:val="18"/>
              </w:rPr>
              <w:t>9.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2DF76" w14:textId="77777777" w:rsidR="005023B3" w:rsidRPr="000F4539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0F4539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Zeposia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6362B8" w14:textId="77777777" w:rsidR="005023B3" w:rsidRPr="000F4539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0F4539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ozanimod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F172A" w14:textId="77777777" w:rsidR="005023B3" w:rsidRPr="000F4539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F4539">
              <w:rPr>
                <w:rFonts w:ascii="Lato" w:hAnsi="Lato" w:cstheme="majorHAnsi"/>
                <w:color w:val="000000"/>
                <w:sz w:val="18"/>
                <w:szCs w:val="18"/>
              </w:rPr>
              <w:t>B.55</w:t>
            </w:r>
          </w:p>
        </w:tc>
        <w:tc>
          <w:tcPr>
            <w:tcW w:w="1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B89CDE" w14:textId="77777777" w:rsidR="005023B3" w:rsidRPr="000F4539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F4539">
              <w:rPr>
                <w:rFonts w:ascii="Lato" w:hAnsi="Lato" w:cstheme="majorHAnsi"/>
                <w:sz w:val="18"/>
                <w:szCs w:val="18"/>
              </w:rPr>
              <w:t>LECZENIE PACJENTÓW Z WRZODZIEJĄCYM ZAPALENIEM JELITA GRUBEGO (WZJG) (ICD-10: K51)</w:t>
            </w:r>
          </w:p>
        </w:tc>
        <w:tc>
          <w:tcPr>
            <w:tcW w:w="1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6DF19" w14:textId="77777777" w:rsidR="005023B3" w:rsidRPr="000F4539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F4539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za pomocą modulatora receptora fosforanu sfingozyny 1 (ozanimodem) z rozpoznaną ciężką lub umiarkowaną postacią wrzodziejącego zapalenia jelita grubego.</w:t>
            </w:r>
          </w:p>
        </w:tc>
      </w:tr>
      <w:tr w:rsidR="005023B3" w:rsidRPr="005F7844" w14:paraId="1A06C5FA" w14:textId="77777777" w:rsidTr="00767F8E">
        <w:trPr>
          <w:trHeight w:val="20"/>
        </w:trPr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F451B1" w14:textId="77777777" w:rsidR="005023B3" w:rsidRPr="000F4539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F4539">
              <w:rPr>
                <w:rFonts w:ascii="Lato" w:hAnsi="Lato" w:cstheme="majorHAnsi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EEDF0C" w14:textId="77777777" w:rsidR="005023B3" w:rsidRPr="000F4539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0F4539">
              <w:rPr>
                <w:rFonts w:ascii="Lato" w:hAnsi="Lato" w:cstheme="majorHAnsi"/>
                <w:b/>
                <w:bCs/>
                <w:sz w:val="18"/>
                <w:szCs w:val="18"/>
              </w:rPr>
              <w:t>Jyseleca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FB0D8" w14:textId="77777777" w:rsidR="005023B3" w:rsidRPr="000F4539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0F4539">
              <w:rPr>
                <w:rFonts w:ascii="Lato" w:hAnsi="Lato" w:cstheme="majorHAnsi"/>
                <w:i/>
                <w:iCs/>
                <w:sz w:val="18"/>
                <w:szCs w:val="18"/>
              </w:rPr>
              <w:t>filgotynib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00E02" w14:textId="77777777" w:rsidR="005023B3" w:rsidRPr="000F4539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F4539">
              <w:rPr>
                <w:rFonts w:ascii="Lato" w:hAnsi="Lato" w:cstheme="majorHAnsi"/>
                <w:color w:val="000000"/>
                <w:sz w:val="18"/>
                <w:szCs w:val="18"/>
              </w:rPr>
              <w:t>B.55</w:t>
            </w:r>
          </w:p>
        </w:tc>
        <w:tc>
          <w:tcPr>
            <w:tcW w:w="1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63DC3" w14:textId="77777777" w:rsidR="005023B3" w:rsidRPr="000F4539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F4539">
              <w:rPr>
                <w:rFonts w:ascii="Lato" w:hAnsi="Lato" w:cstheme="majorHAnsi"/>
                <w:sz w:val="18"/>
                <w:szCs w:val="18"/>
              </w:rPr>
              <w:t>LECZENIE PACJENTÓW Z WRZODZIEJĄCYM ZAPALENIEM JELITA GRUBEGO (WZJG) (ICD-10: K51)</w:t>
            </w:r>
          </w:p>
        </w:tc>
        <w:tc>
          <w:tcPr>
            <w:tcW w:w="1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C5648" w14:textId="77777777" w:rsidR="005023B3" w:rsidRPr="000F4539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F4539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za pomocą kolejnego leku z grupy inhibitorów JAK (filgotynibem) z rozpoznaną ciężką lub umiarkowaną postacią wrzodziejącego zapalenia jelita grubego.</w:t>
            </w:r>
          </w:p>
        </w:tc>
      </w:tr>
      <w:tr w:rsidR="005023B3" w:rsidRPr="005F7844" w14:paraId="3F9E216F" w14:textId="77777777" w:rsidTr="00767F8E">
        <w:trPr>
          <w:trHeight w:val="20"/>
        </w:trPr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5B5AE" w14:textId="77777777" w:rsidR="005023B3" w:rsidRPr="000F4539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F4539">
              <w:rPr>
                <w:rFonts w:ascii="Lato" w:hAnsi="Lato" w:cstheme="majorHAnsi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7997B" w14:textId="77777777" w:rsidR="005023B3" w:rsidRPr="000F4539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0F4539">
              <w:rPr>
                <w:rFonts w:ascii="Lato" w:hAnsi="Lato" w:cstheme="majorHAnsi"/>
                <w:b/>
                <w:bCs/>
                <w:sz w:val="18"/>
                <w:szCs w:val="18"/>
              </w:rPr>
              <w:t>Nplate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47EDE6" w14:textId="77777777" w:rsidR="005023B3" w:rsidRPr="000F4539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0F4539">
              <w:rPr>
                <w:rFonts w:ascii="Lato" w:hAnsi="Lato" w:cstheme="majorHAnsi"/>
                <w:i/>
                <w:iCs/>
                <w:sz w:val="18"/>
                <w:szCs w:val="18"/>
              </w:rPr>
              <w:t>romiplostym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E430F" w14:textId="77777777" w:rsidR="005023B3" w:rsidRPr="000F4539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F4539">
              <w:rPr>
                <w:rFonts w:ascii="Lato" w:hAnsi="Lato" w:cstheme="majorHAnsi"/>
                <w:color w:val="000000"/>
                <w:sz w:val="18"/>
                <w:szCs w:val="18"/>
              </w:rPr>
              <w:t>B.97</w:t>
            </w:r>
          </w:p>
        </w:tc>
        <w:tc>
          <w:tcPr>
            <w:tcW w:w="1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F5A42" w14:textId="77777777" w:rsidR="005023B3" w:rsidRPr="000F4539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F4539">
              <w:rPr>
                <w:rFonts w:ascii="Lato" w:hAnsi="Lato" w:cstheme="majorHAnsi"/>
                <w:color w:val="000000"/>
                <w:sz w:val="18"/>
                <w:szCs w:val="18"/>
              </w:rPr>
              <w:t>LECZENIE DOROSŁYCH CHORYCH NA PIERWOTNĄ MAŁOPŁYTKOWOŚĆ IMMUNOLOGICZNĄ (ICD-10 D69.3)</w:t>
            </w:r>
          </w:p>
        </w:tc>
        <w:tc>
          <w:tcPr>
            <w:tcW w:w="1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67E93" w14:textId="77777777" w:rsidR="005023B3" w:rsidRPr="000F4539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F4539">
              <w:rPr>
                <w:rFonts w:ascii="Lato" w:hAnsi="Lato" w:cstheme="majorHAnsi"/>
                <w:color w:val="000000"/>
                <w:sz w:val="18"/>
                <w:szCs w:val="18"/>
              </w:rPr>
              <w:t>Rozszerzenie populacji o pacjentów, u których nie wykonano splenektomii.</w:t>
            </w:r>
          </w:p>
          <w:p w14:paraId="7182BD1E" w14:textId="77777777" w:rsidR="005023B3" w:rsidRPr="000F4539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F4539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5023B3" w:rsidRPr="005F7844" w14:paraId="057BCC83" w14:textId="77777777" w:rsidTr="00767F8E">
        <w:trPr>
          <w:trHeight w:val="20"/>
        </w:trPr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56AC7" w14:textId="77777777" w:rsidR="005023B3" w:rsidRPr="000F4539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F4539">
              <w:rPr>
                <w:rFonts w:ascii="Lato" w:hAnsi="Lato" w:cstheme="majorHAnsi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E2AC3" w14:textId="77777777" w:rsidR="005023B3" w:rsidRPr="000F4539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0F4539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Doptelet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B45D8" w14:textId="77777777" w:rsidR="005023B3" w:rsidRPr="000F4539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0F4539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awatrombopag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3427D" w14:textId="77777777" w:rsidR="005023B3" w:rsidRPr="000F4539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F4539">
              <w:rPr>
                <w:rFonts w:ascii="Lato" w:hAnsi="Lato" w:cstheme="majorHAnsi"/>
                <w:color w:val="000000"/>
                <w:sz w:val="18"/>
                <w:szCs w:val="18"/>
              </w:rPr>
              <w:t>B.97</w:t>
            </w:r>
          </w:p>
        </w:tc>
        <w:tc>
          <w:tcPr>
            <w:tcW w:w="1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A9924" w14:textId="77777777" w:rsidR="005023B3" w:rsidRPr="000F4539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F4539">
              <w:rPr>
                <w:rFonts w:ascii="Lato" w:hAnsi="Lato" w:cstheme="majorHAnsi"/>
                <w:color w:val="000000"/>
                <w:sz w:val="18"/>
                <w:szCs w:val="18"/>
              </w:rPr>
              <w:t>LECZENIE DOROSŁYCH CHORYCH NA PIERWOTNĄ MAŁOPŁYTKOWOŚĆ IMMUNOLOGICZNĄ (ICD-10: D69.3)</w:t>
            </w:r>
          </w:p>
        </w:tc>
        <w:tc>
          <w:tcPr>
            <w:tcW w:w="1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1CAED" w14:textId="77777777" w:rsidR="005023B3" w:rsidRPr="000F4539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F4539">
              <w:rPr>
                <w:rFonts w:ascii="Lato" w:hAnsi="Lato" w:cstheme="majorHAnsi"/>
                <w:color w:val="000000"/>
                <w:sz w:val="18"/>
                <w:szCs w:val="18"/>
              </w:rPr>
              <w:t>Leczenie pierwotnej małopłytkowości immunologicznej awatrombopagiem u dorosłych pacjentów.</w:t>
            </w:r>
          </w:p>
          <w:p w14:paraId="7502BF8F" w14:textId="77777777" w:rsidR="005023B3" w:rsidRPr="000F4539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F4539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5023B3" w:rsidRPr="005F7844" w14:paraId="2D813B69" w14:textId="77777777" w:rsidTr="00767F8E">
        <w:trPr>
          <w:trHeight w:val="20"/>
        </w:trPr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15EEE" w14:textId="77777777" w:rsidR="005023B3" w:rsidRPr="000F4539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F4539">
              <w:rPr>
                <w:rFonts w:ascii="Lato" w:hAnsi="Lato" w:cstheme="majorHAnsi"/>
                <w:color w:val="000000"/>
                <w:sz w:val="18"/>
                <w:szCs w:val="18"/>
              </w:rPr>
              <w:t>13.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3CA25" w14:textId="77777777" w:rsidR="005023B3" w:rsidRPr="000F4539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0F4539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Reblozyl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EC6AF" w14:textId="77777777" w:rsidR="005023B3" w:rsidRPr="000F4539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0F4539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luspatercept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8E7DD" w14:textId="77777777" w:rsidR="005023B3" w:rsidRPr="000F4539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F4539">
              <w:rPr>
                <w:rFonts w:ascii="Lato" w:hAnsi="Lato" w:cstheme="majorHAnsi"/>
                <w:color w:val="000000"/>
                <w:sz w:val="18"/>
                <w:szCs w:val="18"/>
              </w:rPr>
              <w:t>B.142</w:t>
            </w:r>
          </w:p>
        </w:tc>
        <w:tc>
          <w:tcPr>
            <w:tcW w:w="1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3DD47" w14:textId="77777777" w:rsidR="005023B3" w:rsidRPr="000F4539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F4539">
              <w:rPr>
                <w:rFonts w:ascii="Lato" w:hAnsi="Lato" w:cstheme="majorHAnsi"/>
                <w:color w:val="000000"/>
                <w:sz w:val="18"/>
                <w:szCs w:val="18"/>
              </w:rPr>
              <w:t>LECZENIE DOROSŁYCH PACJENTÓW Z ZESPOŁAMI MIELODYSPLASTYCZNYMI Z TOWARZYSZĄCĄ NIEDOKRWISTOŚCIĄ ZALEŻNĄ OD TRANSFUZJI (ICD-10: D46.1)</w:t>
            </w:r>
          </w:p>
        </w:tc>
        <w:tc>
          <w:tcPr>
            <w:tcW w:w="1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CDE63" w14:textId="77777777" w:rsidR="005023B3" w:rsidRPr="000F4539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F453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Niedokrwistość zależna od przetoczeń u osób dorosłych w przebiegu zespołów mielodysplastycznych o bardzo niskim, niskim lub pośrednim ryzyku z pierścieniowatymi syderoblastami, u których wystąpiła niedostateczna odpowiedź na leki stymulujące erytropoezę, lub którzy nie kwalifikują się do takiego leczenia. </w:t>
            </w:r>
          </w:p>
          <w:p w14:paraId="226C3D87" w14:textId="77777777" w:rsidR="005023B3" w:rsidRPr="000F4539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F4539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5023B3" w:rsidRPr="005F7844" w14:paraId="6D9DB47B" w14:textId="77777777" w:rsidTr="00767F8E">
        <w:trPr>
          <w:trHeight w:val="20"/>
        </w:trPr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0FD0A" w14:textId="77777777" w:rsidR="005023B3" w:rsidRPr="000F4539" w:rsidRDefault="005023B3" w:rsidP="00767F8E">
            <w:pPr>
              <w:spacing w:before="60" w:after="60" w:line="240" w:lineRule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F4539">
              <w:rPr>
                <w:rFonts w:ascii="Lato" w:hAnsi="Lato" w:cstheme="majorHAnsi"/>
                <w:color w:val="000000"/>
                <w:sz w:val="18"/>
                <w:szCs w:val="18"/>
              </w:rPr>
              <w:t>14.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856ED" w14:textId="77777777" w:rsidR="005023B3" w:rsidRPr="000F4539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0F4539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Carbaglu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7BAA52" w14:textId="77777777" w:rsidR="005023B3" w:rsidRPr="000F4539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0F4539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kwas kargluminowy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1FF07" w14:textId="77777777" w:rsidR="005023B3" w:rsidRPr="000F4539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F4539">
              <w:rPr>
                <w:rFonts w:ascii="Lato" w:hAnsi="Lato" w:cstheme="majorHAnsi"/>
                <w:color w:val="000000"/>
                <w:sz w:val="18"/>
                <w:szCs w:val="18"/>
              </w:rPr>
              <w:t>B.143</w:t>
            </w:r>
          </w:p>
        </w:tc>
        <w:tc>
          <w:tcPr>
            <w:tcW w:w="1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19753" w14:textId="77777777" w:rsidR="005023B3" w:rsidRPr="000F4539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F4539">
              <w:rPr>
                <w:rFonts w:ascii="Lato" w:hAnsi="Lato" w:cstheme="majorHAnsi"/>
                <w:color w:val="000000"/>
                <w:sz w:val="18"/>
                <w:szCs w:val="18"/>
              </w:rPr>
              <w:t>LECZENIE KWASEM KARGLUMINOWYM CHORYCH Z ACYDURIAMI ORGANICZNYMI: PROPIONOWĄ, METYLOMALONOWĄ I IZOWALERIANOWĄ (ICD-10: E71.1)</w:t>
            </w:r>
          </w:p>
        </w:tc>
        <w:tc>
          <w:tcPr>
            <w:tcW w:w="1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6EE39" w14:textId="77777777" w:rsidR="005023B3" w:rsidRPr="000F4539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F4539">
              <w:rPr>
                <w:rFonts w:ascii="Lato" w:hAnsi="Lato" w:cstheme="majorHAnsi"/>
                <w:color w:val="000000"/>
                <w:sz w:val="18"/>
                <w:szCs w:val="18"/>
              </w:rPr>
              <w:t>Leczenie kwasic organicznych: propionowej, metylomalonowej i izowalerianowej, genetycznie uwarunkowanych zaburzeń metabolicznych, dotyczących metabolizmu aminokwasów, szczególnie aminokwasów rozgałęzionych (izoleucyna, leucyna i walina).</w:t>
            </w:r>
            <w:r w:rsidRPr="000F4539">
              <w:rPr>
                <w:rFonts w:ascii="Lato" w:hAnsi="Lato" w:cstheme="majorHAnsi"/>
                <w:color w:val="000000"/>
                <w:sz w:val="18"/>
                <w:szCs w:val="18"/>
              </w:rPr>
              <w:br/>
            </w:r>
            <w:r w:rsidRPr="000F4539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</w:tbl>
    <w:p w14:paraId="5621C03B" w14:textId="77777777" w:rsidR="005023B3" w:rsidRPr="005F7844" w:rsidRDefault="005023B3" w:rsidP="005023B3">
      <w:pPr>
        <w:rPr>
          <w:rFonts w:ascii="Lato" w:hAnsi="Lato"/>
        </w:rPr>
      </w:pPr>
    </w:p>
    <w:p w14:paraId="67D86BE0" w14:textId="77777777" w:rsidR="005023B3" w:rsidRPr="005F7844" w:rsidRDefault="005023B3" w:rsidP="005023B3">
      <w:pPr>
        <w:suppressAutoHyphens w:val="0"/>
        <w:rPr>
          <w:rFonts w:ascii="Lato" w:hAnsi="Lato"/>
        </w:rPr>
      </w:pPr>
      <w:r w:rsidRPr="005F7844">
        <w:rPr>
          <w:rFonts w:ascii="Lato" w:hAnsi="Lato"/>
        </w:rPr>
        <w:br w:type="page"/>
      </w:r>
    </w:p>
    <w:tbl>
      <w:tblPr>
        <w:tblW w:w="5000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641"/>
        <w:gridCol w:w="1645"/>
        <w:gridCol w:w="2504"/>
        <w:gridCol w:w="9200"/>
      </w:tblGrid>
      <w:tr w:rsidR="005023B3" w:rsidRPr="005F7844" w14:paraId="07D262B6" w14:textId="77777777" w:rsidTr="00767F8E">
        <w:trPr>
          <w:cantSplit/>
          <w:trHeight w:val="20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F6569" w14:textId="77777777" w:rsidR="005023B3" w:rsidRPr="005F7844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</w:rPr>
            </w:pPr>
            <w:r w:rsidRPr="005F7844">
              <w:rPr>
                <w:rFonts w:ascii="Lato" w:hAnsi="Lato" w:cstheme="majorHAnsi"/>
                <w:b/>
                <w:bCs/>
                <w:color w:val="FFFFFF"/>
              </w:rPr>
              <w:lastRenderedPageBreak/>
              <w:t>Zmiany w programach lekowych i chemioterapii</w:t>
            </w:r>
          </w:p>
        </w:tc>
      </w:tr>
      <w:tr w:rsidR="005023B3" w:rsidRPr="005F7844" w14:paraId="6CE126EC" w14:textId="77777777" w:rsidTr="00767F8E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19372" w14:textId="77777777" w:rsidR="005023B3" w:rsidRPr="00902F5E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902F5E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24025" w14:textId="77777777" w:rsidR="005023B3" w:rsidRPr="00902F5E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902F5E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Numer programu lekowego lub numeru załącznika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3D370" w14:textId="77777777" w:rsidR="005023B3" w:rsidRPr="00902F5E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902F5E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programu lekowego lub załącznika chemioterapii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33D3D" w14:textId="77777777" w:rsidR="005023B3" w:rsidRPr="00902F5E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902F5E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Krótki opis zmian dokonanych w obrębie programu lekowego / załącznika chemioterapii</w:t>
            </w:r>
          </w:p>
        </w:tc>
      </w:tr>
      <w:tr w:rsidR="005023B3" w:rsidRPr="005F7844" w14:paraId="3F571D60" w14:textId="77777777" w:rsidTr="00767F8E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F1CCE" w14:textId="77777777" w:rsidR="005023B3" w:rsidRPr="00485DCA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0C20F" w14:textId="77777777" w:rsidR="005023B3" w:rsidRPr="00485DCA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color w:val="000000"/>
                <w:sz w:val="18"/>
                <w:szCs w:val="18"/>
              </w:rPr>
              <w:t>B.6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18E44" w14:textId="77777777" w:rsidR="005023B3" w:rsidRPr="00485DCA" w:rsidRDefault="005023B3" w:rsidP="00767F8E">
            <w:pPr>
              <w:autoSpaceDE w:val="0"/>
              <w:adjustRightInd w:val="0"/>
              <w:spacing w:before="60" w:after="60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PŁUCA (ICD-10: C34) ORAZ MIĘDZYBŁONIAKA OPŁUCNEJ (ICD-10: C45)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BB838" w14:textId="77777777" w:rsidR="005023B3" w:rsidRPr="00485DCA" w:rsidRDefault="005023B3" w:rsidP="00767F8E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color w:val="000000"/>
                <w:sz w:val="18"/>
                <w:szCs w:val="18"/>
              </w:rPr>
              <w:t>Dodanie możliwości kwalifikacji pacjentów z przerzutami do ośrodkowego układu nerwowego (OUN) w leczeniu drobnokomórkowego raka płuca durwalumabem albo atezolizumabem.</w:t>
            </w:r>
          </w:p>
        </w:tc>
      </w:tr>
      <w:tr w:rsidR="005023B3" w:rsidRPr="005F7844" w14:paraId="1E911989" w14:textId="77777777" w:rsidTr="00767F8E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ECE56" w14:textId="77777777" w:rsidR="005023B3" w:rsidRPr="00485DCA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2.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E6048" w14:textId="77777777" w:rsidR="005023B3" w:rsidRPr="00485DCA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color w:val="000000"/>
                <w:sz w:val="18"/>
                <w:szCs w:val="18"/>
              </w:rPr>
              <w:t>B.6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9075FC" w14:textId="77777777" w:rsidR="005023B3" w:rsidRPr="00485DCA" w:rsidRDefault="005023B3" w:rsidP="00767F8E">
            <w:pPr>
              <w:autoSpaceDE w:val="0"/>
              <w:adjustRightInd w:val="0"/>
              <w:spacing w:before="60" w:after="60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PŁUCA (ICD-10: C34) ORAZ MIĘDZYBŁONIAKA OPŁUCNEJ (ICD-10: C45)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B177F" w14:textId="77777777" w:rsidR="005023B3" w:rsidRPr="00485DCA" w:rsidRDefault="005023B3" w:rsidP="00767F8E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color w:val="000000"/>
                <w:sz w:val="18"/>
                <w:szCs w:val="18"/>
              </w:rPr>
              <w:t>Umożliwienie zastosowania leczenia u pacjentów w III stadium zaawansowania choroby, u których nie jest możliwe leczenie radykalne oraz umożliwienie kontynuacji terapii u chorych z chorobą oligometastatyczną. Dodatkowo wprowadzono możliwość zastosowania terapii u chorych z niedrobnokomórkowym rakiem płuca, u których występują inne nowotwory kontrolowane leczeniem.</w:t>
            </w:r>
          </w:p>
        </w:tc>
      </w:tr>
      <w:tr w:rsidR="005023B3" w:rsidRPr="005F7844" w14:paraId="799361B3" w14:textId="77777777" w:rsidTr="00767F8E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D71AA" w14:textId="77777777" w:rsidR="005023B3" w:rsidRPr="00485DCA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E58E1" w14:textId="77777777" w:rsidR="005023B3" w:rsidRPr="00485DCA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sz w:val="18"/>
                <w:szCs w:val="18"/>
              </w:rPr>
              <w:t>B.8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48C93" w14:textId="77777777" w:rsidR="005023B3" w:rsidRPr="00485DCA" w:rsidRDefault="005023B3" w:rsidP="00767F8E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eastAsia="Calibri" w:hAnsi="Lato" w:cstheme="majorHAnsi"/>
                <w:sz w:val="18"/>
                <w:szCs w:val="18"/>
                <w:lang w:eastAsia="en-US"/>
              </w:rPr>
            </w:pPr>
            <w:r w:rsidRPr="00485DCA">
              <w:rPr>
                <w:rFonts w:ascii="Lato" w:hAnsi="Lato" w:cstheme="majorHAnsi"/>
                <w:sz w:val="18"/>
                <w:szCs w:val="18"/>
              </w:rPr>
              <w:t>LECZENIE CHORYCH NA MIĘSAKI TKANEK MIĘKKICH (ICD-10: C48, C49)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1BF44" w14:textId="77777777" w:rsidR="005023B3" w:rsidRPr="00485DCA" w:rsidRDefault="005023B3" w:rsidP="00767F8E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sz w:val="18"/>
                <w:szCs w:val="18"/>
              </w:rPr>
              <w:t>Kompleksowa zmiana budowy programu lekowego dotyczącego leczenia pacjentów z mięsakami tkanek miękkich zainicjowana przeniesieniem sunitynibu do katalogu chemioterapii. Ujednolicono oraz uproszczono kryteria kwalifikacji oraz wyłączenia z programu wobec dwóch pozostałych terapii. W przypadku trabektedyny rozszerzono kryterium włączenia o pacjentów ze stanem sprawności ocenionym na 2 wg ECOG. Zmiany porządkujące objęły także zapisy dotyczące dawkowania, jak również badań diagnostycznych wykonywanych w trakcie kwalifikacji i monitorowania leczenia.</w:t>
            </w:r>
          </w:p>
        </w:tc>
      </w:tr>
      <w:tr w:rsidR="005023B3" w:rsidRPr="005F7844" w14:paraId="3FA72779" w14:textId="77777777" w:rsidTr="00767F8E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8139A" w14:textId="77777777" w:rsidR="005023B3" w:rsidRPr="00485DCA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4.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B4D34A" w14:textId="77777777" w:rsidR="005023B3" w:rsidRPr="00485DCA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color w:val="000000"/>
                <w:sz w:val="18"/>
                <w:szCs w:val="18"/>
              </w:rPr>
              <w:t>B.9.FM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1A7748" w14:textId="77777777" w:rsidR="005023B3" w:rsidRPr="00485DCA" w:rsidRDefault="005023B3" w:rsidP="00767F8E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85DCA">
              <w:rPr>
                <w:rFonts w:ascii="Lato" w:eastAsia="Calibri" w:hAnsi="Lato" w:cstheme="majorHAnsi"/>
                <w:sz w:val="18"/>
                <w:szCs w:val="18"/>
                <w:lang w:eastAsia="en-US"/>
              </w:rPr>
              <w:t>LECZENIE CHORYCH NA RAKA PIERSI (ICD-10: C50)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5EBDE1" w14:textId="77777777" w:rsidR="005023B3" w:rsidRPr="00485DCA" w:rsidRDefault="005023B3" w:rsidP="00767F8E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Korekta zapisów dotyczących linii leczenia dla dwóch substancji: talazoparyb oraz sacytuzumab gowetikan </w:t>
            </w:r>
            <w:r w:rsidRPr="00485DCA">
              <w:rPr>
                <w:rFonts w:ascii="Lato" w:hAnsi="Lato" w:cstheme="majorHAnsi"/>
                <w:color w:val="000000"/>
                <w:sz w:val="18"/>
                <w:szCs w:val="18"/>
              </w:rPr>
              <w:br/>
              <w:t>stosowanych w leczeniu przerzutowego potrójnie ujemnego raka piersi.</w:t>
            </w:r>
          </w:p>
        </w:tc>
      </w:tr>
      <w:tr w:rsidR="005023B3" w:rsidRPr="005F7844" w14:paraId="60ED3AE0" w14:textId="77777777" w:rsidTr="00767F8E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A2126B" w14:textId="77777777" w:rsidR="005023B3" w:rsidRPr="00485DCA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5.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A954F6" w14:textId="77777777" w:rsidR="005023B3" w:rsidRPr="00485DCA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sz w:val="18"/>
                <w:szCs w:val="18"/>
              </w:rPr>
              <w:t>B.10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2D1CC9" w14:textId="77777777" w:rsidR="005023B3" w:rsidRPr="00485DCA" w:rsidRDefault="005023B3" w:rsidP="00767F8E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sz w:val="18"/>
                <w:szCs w:val="18"/>
              </w:rPr>
              <w:t>LECZENIE PACJENTÓW Z RAKIEM NERKI (ICD-10 C64)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6266F" w14:textId="77777777" w:rsidR="005023B3" w:rsidRPr="00485DCA" w:rsidRDefault="005023B3" w:rsidP="00767F8E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sz w:val="18"/>
                <w:szCs w:val="18"/>
              </w:rPr>
              <w:t>Ujednolicenie kryteriów kwalifikacji, wyłączenia oraz badań diagnostycznych, a także monitorowania bezpieczeństwa i skuteczności leczenia.</w:t>
            </w:r>
          </w:p>
        </w:tc>
      </w:tr>
      <w:tr w:rsidR="005023B3" w:rsidRPr="005F7844" w14:paraId="0E6CBA16" w14:textId="77777777" w:rsidTr="00767F8E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F89951" w14:textId="77777777" w:rsidR="005023B3" w:rsidRPr="00485DCA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6.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E6827" w14:textId="77777777" w:rsidR="005023B3" w:rsidRPr="00485DCA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color w:val="000000"/>
                <w:sz w:val="18"/>
                <w:szCs w:val="18"/>
              </w:rPr>
              <w:t>B.12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8E950F" w14:textId="77777777" w:rsidR="005023B3" w:rsidRPr="00485DCA" w:rsidRDefault="005023B3" w:rsidP="00767F8E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eastAsia="Calibri" w:hAnsi="Lato" w:cstheme="majorHAnsi"/>
                <w:sz w:val="18"/>
                <w:szCs w:val="18"/>
                <w:lang w:eastAsia="en-US"/>
              </w:rPr>
            </w:pPr>
            <w:r w:rsidRPr="00485DCA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CHŁONIAKI B-KOMÓRKOWE (ICD-10: C82, C83, C85)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921B6" w14:textId="77777777" w:rsidR="005023B3" w:rsidRPr="00485DCA" w:rsidRDefault="005023B3" w:rsidP="00767F8E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Połączenie w jeden program lekowy „Leczenie chorych na chłoniaki B-komórkowe (ICD-10: C82, C83, C85)” </w:t>
            </w:r>
            <w:r w:rsidRPr="00485DCA">
              <w:rPr>
                <w:rFonts w:ascii="Lato" w:hAnsi="Lato" w:cstheme="majorHAnsi"/>
                <w:color w:val="000000"/>
                <w:sz w:val="18"/>
                <w:szCs w:val="18"/>
              </w:rPr>
              <w:br/>
              <w:t xml:space="preserve">aktualnie refundowanych terapii we wskazaniu leczenie chorych na chłoniaki B-komórkowe w ramach </w:t>
            </w:r>
            <w:r w:rsidRPr="00485DCA">
              <w:rPr>
                <w:rFonts w:ascii="Lato" w:hAnsi="Lato" w:cstheme="majorHAnsi"/>
                <w:color w:val="000000"/>
                <w:sz w:val="18"/>
                <w:szCs w:val="18"/>
              </w:rPr>
              <w:br/>
              <w:t xml:space="preserve">programów lekowych: </w:t>
            </w:r>
          </w:p>
          <w:p w14:paraId="3C8F24F9" w14:textId="77777777" w:rsidR="005023B3" w:rsidRPr="00485DCA" w:rsidRDefault="005023B3" w:rsidP="00767F8E">
            <w:pPr>
              <w:pStyle w:val="Akapitzlist"/>
              <w:numPr>
                <w:ilvl w:val="0"/>
                <w:numId w:val="11"/>
              </w:num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B.12. „Leczenie chorych na chłoniaki złośliwe (ICD-10 C82.0; C82.1; C82.7)” oraz </w:t>
            </w:r>
          </w:p>
          <w:p w14:paraId="5A8A46D6" w14:textId="77777777" w:rsidR="005023B3" w:rsidRPr="00485DCA" w:rsidRDefault="005023B3" w:rsidP="00767F8E">
            <w:pPr>
              <w:pStyle w:val="Akapitzlist"/>
              <w:numPr>
                <w:ilvl w:val="0"/>
                <w:numId w:val="11"/>
              </w:num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color w:val="000000"/>
                <w:sz w:val="18"/>
                <w:szCs w:val="18"/>
              </w:rPr>
              <w:t>B.93. „Leczenie chorych na chłoniaki rozlane z dużych komórek B oraz inne chłoniaki B-komórkowe (ICD-10: C83, C85)”,</w:t>
            </w:r>
          </w:p>
          <w:p w14:paraId="05CC6C8B" w14:textId="77777777" w:rsidR="005023B3" w:rsidRPr="00485DCA" w:rsidRDefault="005023B3" w:rsidP="00767F8E">
            <w:p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color w:val="000000"/>
                <w:sz w:val="18"/>
                <w:szCs w:val="18"/>
              </w:rPr>
              <w:t>z jednoczesnym przeniesieniem lenalidomidu z programu lekowego B.93. do katalogu chemioterapii.</w:t>
            </w:r>
          </w:p>
        </w:tc>
      </w:tr>
      <w:tr w:rsidR="005023B3" w:rsidRPr="005F7844" w14:paraId="1DC228C4" w14:textId="77777777" w:rsidTr="00767F8E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B8A32" w14:textId="77777777" w:rsidR="005023B3" w:rsidRPr="00485DCA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lastRenderedPageBreak/>
              <w:t>7.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1A6D0" w14:textId="77777777" w:rsidR="005023B3" w:rsidRPr="00485DCA" w:rsidRDefault="005023B3" w:rsidP="00767F8E">
            <w:pPr>
              <w:pStyle w:val="Style2"/>
              <w:widowControl/>
              <w:spacing w:after="24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color w:val="000000"/>
                <w:sz w:val="18"/>
                <w:szCs w:val="18"/>
              </w:rPr>
              <w:t>B.47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93CC7" w14:textId="77777777" w:rsidR="005023B3" w:rsidRPr="00485DCA" w:rsidRDefault="005023B3" w:rsidP="00767F8E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eastAsia="Calibri" w:hAnsi="Lato" w:cstheme="majorHAnsi"/>
                <w:sz w:val="18"/>
                <w:szCs w:val="18"/>
                <w:lang w:eastAsia="en-US"/>
              </w:rPr>
            </w:pPr>
            <w:r w:rsidRPr="00485DCA">
              <w:rPr>
                <w:rFonts w:ascii="Lato" w:hAnsi="Lato" w:cstheme="majorHAnsi"/>
                <w:color w:val="000000"/>
                <w:sz w:val="18"/>
                <w:szCs w:val="18"/>
              </w:rPr>
              <w:t>LECZENIE UMIARKOWANEJ I CIĘŻKIEJ POSTACI ŁUSZCZYCY PLACKOWATEJ (ICD-10: L40.0)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D4F26" w14:textId="77777777" w:rsidR="005023B3" w:rsidRPr="00485DCA" w:rsidRDefault="005023B3" w:rsidP="00767F8E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color w:val="000000"/>
                <w:sz w:val="18"/>
                <w:szCs w:val="18"/>
              </w:rPr>
              <w:t>Rozszerzenie wskazania o umiarkowaną postać łuszczycy plackowatej dla leków dotychczas dostępnych w ciężkiej postaci łuszczycy, zniesienie limitu czasu leczenia oraz obniżenie wieku leczenia adalimumabem do pacjentów powyżej 4 roku życia i leczenia ustekinumabem, iksekizumabem, sekukinumabem</w:t>
            </w:r>
            <w:r w:rsidRPr="00485DCA">
              <w:rPr>
                <w:rFonts w:ascii="Lato" w:hAnsi="Lato"/>
                <w:sz w:val="18"/>
                <w:szCs w:val="18"/>
              </w:rPr>
              <w:t xml:space="preserve"> </w:t>
            </w:r>
            <w:r w:rsidRPr="00485DCA">
              <w:rPr>
                <w:rFonts w:ascii="Lato" w:hAnsi="Lato" w:cstheme="majorHAnsi"/>
                <w:sz w:val="18"/>
                <w:szCs w:val="18"/>
              </w:rPr>
              <w:t>do pacjentów</w:t>
            </w:r>
            <w:r w:rsidRPr="00485DCA">
              <w:rPr>
                <w:rFonts w:ascii="Lato" w:hAnsi="Lato"/>
                <w:sz w:val="18"/>
                <w:szCs w:val="18"/>
              </w:rPr>
              <w:t xml:space="preserve"> </w:t>
            </w:r>
            <w:r w:rsidRPr="00485DCA">
              <w:rPr>
                <w:rFonts w:ascii="Lato" w:hAnsi="Lato" w:cstheme="majorHAnsi"/>
                <w:color w:val="000000"/>
                <w:sz w:val="18"/>
                <w:szCs w:val="18"/>
              </w:rPr>
              <w:t>powyżej 6 roku życia. Dodatkowo wprowadzono monitorowanie skuteczności leczenia przez Zespół Koordynacyjny,  możliwość przeprowadzenia wizyty w programie w formie zdalnej konsultacji oraz uregulowano sprawę leczenia w warunkach domowych.</w:t>
            </w:r>
          </w:p>
        </w:tc>
      </w:tr>
      <w:tr w:rsidR="005023B3" w:rsidRPr="005F7844" w14:paraId="0279251A" w14:textId="77777777" w:rsidTr="00767F8E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2B760" w14:textId="77777777" w:rsidR="005023B3" w:rsidRPr="00485DCA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8.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61C55A" w14:textId="77777777" w:rsidR="005023B3" w:rsidRPr="00485DCA" w:rsidRDefault="005023B3" w:rsidP="00767F8E">
            <w:pPr>
              <w:pStyle w:val="Style2"/>
              <w:widowControl/>
              <w:spacing w:after="240" w:line="240" w:lineRule="auto"/>
              <w:jc w:val="center"/>
              <w:rPr>
                <w:rFonts w:ascii="Lato" w:eastAsia="Calibri" w:hAnsi="Lato" w:cstheme="majorHAnsi"/>
                <w:color w:val="000000"/>
                <w:sz w:val="18"/>
                <w:szCs w:val="18"/>
                <w:lang w:eastAsia="en-US"/>
              </w:rPr>
            </w:pPr>
            <w:r w:rsidRPr="00485DCA">
              <w:rPr>
                <w:rFonts w:ascii="Lato" w:hAnsi="Lato" w:cstheme="majorHAnsi"/>
                <w:color w:val="000000"/>
                <w:sz w:val="18"/>
                <w:szCs w:val="18"/>
              </w:rPr>
              <w:t>B.54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CE19D" w14:textId="77777777" w:rsidR="005023B3" w:rsidRPr="00485DCA" w:rsidRDefault="005023B3" w:rsidP="00767F8E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eastAsia="Calibri" w:hAnsi="Lato" w:cstheme="majorHAnsi"/>
                <w:color w:val="000000"/>
                <w:sz w:val="18"/>
                <w:szCs w:val="18"/>
                <w:lang w:eastAsia="en-US"/>
              </w:rPr>
            </w:pPr>
            <w:r w:rsidRPr="00485DCA">
              <w:rPr>
                <w:rFonts w:ascii="Lato" w:eastAsia="Calibri" w:hAnsi="Lato" w:cstheme="majorHAnsi"/>
                <w:sz w:val="18"/>
                <w:szCs w:val="18"/>
                <w:lang w:eastAsia="en-US"/>
              </w:rPr>
              <w:t xml:space="preserve">LECZENIE CHORYCH NA SZPICZAKA </w:t>
            </w:r>
            <w:r w:rsidRPr="00485DCA">
              <w:rPr>
                <w:rFonts w:ascii="Lato" w:eastAsia="Calibri" w:hAnsi="Lato" w:cstheme="majorHAnsi"/>
                <w:sz w:val="18"/>
                <w:szCs w:val="18"/>
                <w:lang w:eastAsia="en-US"/>
              </w:rPr>
              <w:br/>
              <w:t xml:space="preserve">PLAZMOCYTOWEGO </w:t>
            </w:r>
            <w:r w:rsidRPr="00485DCA">
              <w:rPr>
                <w:rFonts w:ascii="Lato" w:eastAsia="Calibri" w:hAnsi="Lato" w:cstheme="majorHAnsi"/>
                <w:sz w:val="18"/>
                <w:szCs w:val="18"/>
                <w:lang w:eastAsia="en-US"/>
              </w:rPr>
              <w:br/>
              <w:t>(ICD-10: C90.0)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C82EA9" w14:textId="77777777" w:rsidR="005023B3" w:rsidRPr="00485DCA" w:rsidRDefault="005023B3" w:rsidP="00767F8E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Wprowadzenie kompleksowych zmian w dotychczasowym opisie programu lekowego B.54. uwzględniających m.in.: </w:t>
            </w:r>
          </w:p>
          <w:p w14:paraId="74B2CF13" w14:textId="77777777" w:rsidR="005023B3" w:rsidRPr="00485DCA" w:rsidRDefault="005023B3" w:rsidP="00767F8E">
            <w:pPr>
              <w:pStyle w:val="Akapitzlist"/>
              <w:numPr>
                <w:ilvl w:val="0"/>
                <w:numId w:val="12"/>
              </w:num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udostępnienie nowych, dotychczas nierefundowanych terapii DVTd, DRd, EloPd oraz </w:t>
            </w:r>
          </w:p>
          <w:p w14:paraId="0ABF0943" w14:textId="77777777" w:rsidR="005023B3" w:rsidRPr="00485DCA" w:rsidRDefault="005023B3" w:rsidP="00767F8E">
            <w:pPr>
              <w:pStyle w:val="Akapitzlist"/>
              <w:numPr>
                <w:ilvl w:val="0"/>
                <w:numId w:val="12"/>
              </w:num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color w:val="000000"/>
                <w:sz w:val="18"/>
                <w:szCs w:val="18"/>
              </w:rPr>
              <w:t>zmiany w kryteriach kwalifikacji dla aktualnie refundowanych terapii Pd, DVd, KRd, IRd,</w:t>
            </w:r>
          </w:p>
          <w:p w14:paraId="5DD2FE78" w14:textId="77777777" w:rsidR="005023B3" w:rsidRPr="00485DCA" w:rsidRDefault="005023B3" w:rsidP="00767F8E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color w:val="000000"/>
                <w:sz w:val="18"/>
                <w:szCs w:val="18"/>
              </w:rPr>
              <w:t>z jednoczesnym przeniesieniem lenalidomidu z programu lekowego B.54. do katalogu chemioterapii.</w:t>
            </w:r>
          </w:p>
        </w:tc>
      </w:tr>
      <w:tr w:rsidR="005023B3" w:rsidRPr="005F7844" w14:paraId="1450FC06" w14:textId="77777777" w:rsidTr="00767F8E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1124F" w14:textId="77777777" w:rsidR="005023B3" w:rsidRPr="00485DCA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9.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865EC" w14:textId="77777777" w:rsidR="005023B3" w:rsidRPr="00485DCA" w:rsidRDefault="005023B3" w:rsidP="00767F8E">
            <w:pPr>
              <w:pStyle w:val="Style2"/>
              <w:widowControl/>
              <w:spacing w:after="24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color w:val="000000"/>
                <w:sz w:val="18"/>
                <w:szCs w:val="18"/>
              </w:rPr>
              <w:t>B.55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EAFE00" w14:textId="77777777" w:rsidR="005023B3" w:rsidRPr="00485DCA" w:rsidRDefault="005023B3" w:rsidP="00767F8E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sz w:val="18"/>
                <w:szCs w:val="18"/>
              </w:rPr>
              <w:t>LECZENIE PACJENTÓW Z WRZODZIEJĄCYM ZAPALENIEM JELITA GRUBEGO (WZJG) (ICD-10: K51)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1F3C16" w14:textId="77777777" w:rsidR="005023B3" w:rsidRPr="00485DCA" w:rsidRDefault="005023B3" w:rsidP="00767F8E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sz w:val="18"/>
                <w:szCs w:val="18"/>
              </w:rPr>
              <w:t>Zniesienie zapisów dotyczących leczenia cyklosporyną w kolumnie Świadczeniobiorcy dla pacjentów kwalifikujących się do leczenia ciężkiej lub umiarkowanej postaci wrzodziejącego zapalenia jelita grubego.</w:t>
            </w:r>
          </w:p>
        </w:tc>
      </w:tr>
      <w:tr w:rsidR="005023B3" w:rsidRPr="005F7844" w14:paraId="0B7046C6" w14:textId="77777777" w:rsidTr="00767F8E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13877" w14:textId="77777777" w:rsidR="005023B3" w:rsidRPr="00485DCA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FEF3E" w14:textId="77777777" w:rsidR="005023B3" w:rsidRPr="00485DCA" w:rsidRDefault="005023B3" w:rsidP="00767F8E">
            <w:pPr>
              <w:pStyle w:val="Style2"/>
              <w:widowControl/>
              <w:spacing w:after="24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sz w:val="18"/>
                <w:szCs w:val="18"/>
              </w:rPr>
              <w:t>B.56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C9F858" w14:textId="77777777" w:rsidR="005023B3" w:rsidRPr="00485DCA" w:rsidRDefault="005023B3" w:rsidP="00767F8E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sz w:val="18"/>
                <w:szCs w:val="18"/>
              </w:rPr>
              <w:t>LECZENIE CHORYCH NA RAKA GRUCZOŁU KROKOWEGO (ICD-10: C61)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8F1C7" w14:textId="77777777" w:rsidR="005023B3" w:rsidRPr="00485DCA" w:rsidRDefault="005023B3" w:rsidP="00767F8E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color w:val="000000"/>
                <w:sz w:val="18"/>
                <w:szCs w:val="18"/>
              </w:rPr>
              <w:t>Zasadniczą zmianą w programie lekowym jest kompleksowe uwzględnienie wszystkich opcji leczenia w ramach jednego programu lekowego, czego efektem, jest zmiana jego nazwy z „B.56. Leczenie chorych na opornego na kastrację raka gruczołu krokowego (ICD-10: C61)” na „B.56. Leczenie chorych na raka gruczołu krokowego (ICD-10: C61)”. Zmiana ta obejmuje uwzględnienie refundowanych już w ramach obecnego programu opcji terapeutycznych, jak również nowych możliwości terapeutycznych znajdujących się w procesie refundacyjnym (tj. apalutamid w mHSPC oraz kabazytaksel, olaparyb w mCRPC). Zmiany zapisów mają charakter porządkujący oraz dostosowują zapisy programu lekowego do aktualnych wytycznych klinicznych. Główną zmianą są zapisy odnoszące się do progresji choroby w kryteriach wyłączenia z programu lekowego.</w:t>
            </w:r>
          </w:p>
        </w:tc>
      </w:tr>
      <w:tr w:rsidR="005023B3" w:rsidRPr="005F7844" w14:paraId="3C4BCC58" w14:textId="77777777" w:rsidTr="00767F8E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7C77C" w14:textId="77777777" w:rsidR="005023B3" w:rsidRPr="00485DCA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11.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CCAAB" w14:textId="77777777" w:rsidR="005023B3" w:rsidRPr="00485DCA" w:rsidRDefault="005023B3" w:rsidP="00767F8E">
            <w:pPr>
              <w:pStyle w:val="Style2"/>
              <w:widowControl/>
              <w:spacing w:after="240" w:line="240" w:lineRule="auto"/>
              <w:jc w:val="center"/>
              <w:rPr>
                <w:rFonts w:ascii="Lato" w:eastAsia="Calibri" w:hAnsi="Lato" w:cstheme="majorHAnsi"/>
                <w:color w:val="000000"/>
                <w:sz w:val="18"/>
                <w:szCs w:val="18"/>
                <w:lang w:eastAsia="en-US"/>
              </w:rPr>
            </w:pPr>
            <w:r w:rsidRPr="00485DCA">
              <w:rPr>
                <w:rFonts w:ascii="Lato" w:hAnsi="Lato" w:cstheme="majorHAnsi"/>
                <w:color w:val="000000"/>
                <w:sz w:val="18"/>
                <w:szCs w:val="18"/>
              </w:rPr>
              <w:t>B.61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7EE3E" w14:textId="77777777" w:rsidR="005023B3" w:rsidRPr="00485DCA" w:rsidRDefault="005023B3" w:rsidP="00767F8E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eastAsia="Calibri" w:hAnsi="Lato" w:cstheme="majorHAnsi"/>
                <w:color w:val="000000"/>
                <w:sz w:val="18"/>
                <w:szCs w:val="18"/>
                <w:lang w:eastAsia="en-US"/>
              </w:rPr>
            </w:pPr>
            <w:r w:rsidRPr="00485DCA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CYSTYNOZĘ NEFROPATYCZNĄ (ICD-10: E72.0)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B9E7C" w14:textId="77777777" w:rsidR="005023B3" w:rsidRPr="00485DCA" w:rsidRDefault="005023B3" w:rsidP="00767F8E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Dodano zapisy porządkujące schemat leczenia chorych na cystynozę nefropatyczną w ramach programu lekowego. </w:t>
            </w:r>
          </w:p>
        </w:tc>
      </w:tr>
      <w:tr w:rsidR="005023B3" w:rsidRPr="005F7844" w14:paraId="76F26B35" w14:textId="77777777" w:rsidTr="00767F8E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B28E1" w14:textId="77777777" w:rsidR="005023B3" w:rsidRPr="00485DCA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lastRenderedPageBreak/>
              <w:t>12.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C2291" w14:textId="77777777" w:rsidR="005023B3" w:rsidRPr="00485DCA" w:rsidRDefault="005023B3" w:rsidP="00767F8E">
            <w:pPr>
              <w:pStyle w:val="Style2"/>
              <w:widowControl/>
              <w:spacing w:after="240" w:line="240" w:lineRule="auto"/>
              <w:jc w:val="center"/>
              <w:rPr>
                <w:rFonts w:ascii="Lato" w:eastAsia="Calibri" w:hAnsi="Lato" w:cstheme="majorHAnsi"/>
                <w:color w:val="000000"/>
                <w:sz w:val="18"/>
                <w:szCs w:val="18"/>
                <w:lang w:eastAsia="en-US"/>
              </w:rPr>
            </w:pPr>
            <w:r w:rsidRPr="00485DCA">
              <w:rPr>
                <w:rFonts w:ascii="Lato" w:eastAsia="Calibri" w:hAnsi="Lato" w:cstheme="majorHAnsi"/>
                <w:color w:val="000000"/>
                <w:sz w:val="18"/>
                <w:szCs w:val="18"/>
                <w:lang w:eastAsia="en-US"/>
              </w:rPr>
              <w:t>B.66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704EB" w14:textId="77777777" w:rsidR="005023B3" w:rsidRPr="00485DCA" w:rsidRDefault="005023B3" w:rsidP="00767F8E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eastAsia="Calibri" w:hAnsi="Lato" w:cstheme="majorHAnsi"/>
                <w:color w:val="000000"/>
                <w:sz w:val="18"/>
                <w:szCs w:val="18"/>
                <w:lang w:eastAsia="en-US"/>
              </w:rPr>
            </w:pPr>
            <w:r w:rsidRPr="00485DCA">
              <w:rPr>
                <w:rFonts w:ascii="Lato" w:eastAsia="Calibri" w:hAnsi="Lato" w:cstheme="majorHAnsi"/>
                <w:color w:val="000000"/>
                <w:sz w:val="18"/>
                <w:szCs w:val="18"/>
                <w:lang w:eastAsia="en-US"/>
              </w:rPr>
              <w:t>LECZENIE CHORYCH NA CHŁONIAKI T-KOMÓRKOWE (ICD-10: C84)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488F5" w14:textId="77777777" w:rsidR="005023B3" w:rsidRPr="00485DCA" w:rsidRDefault="005023B3" w:rsidP="00767F8E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color w:val="000000"/>
                <w:sz w:val="18"/>
                <w:szCs w:val="18"/>
              </w:rPr>
              <w:t>Połączenie w jeden program lekowy „Leczenie chorych na chłoniaki T-komórkowe (ICD-10: C84)” aktualnie refundowanych terapii we wskazaniu leczenie chorych na chłoniaki T-komórkowe w ramach programów lekowych:</w:t>
            </w:r>
          </w:p>
          <w:p w14:paraId="77A6F3D2" w14:textId="77777777" w:rsidR="005023B3" w:rsidRPr="00485DCA" w:rsidRDefault="005023B3" w:rsidP="00767F8E">
            <w:pPr>
              <w:pStyle w:val="Akapitzlist"/>
              <w:numPr>
                <w:ilvl w:val="0"/>
                <w:numId w:val="13"/>
              </w:num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color w:val="000000"/>
                <w:sz w:val="18"/>
                <w:szCs w:val="18"/>
              </w:rPr>
              <w:t>B.66. „Leczenie chorych na pierwotne chłoniaki skórne T–komórkowe (ICD – 10: C 84)” oraz</w:t>
            </w:r>
          </w:p>
          <w:p w14:paraId="5AE4B0CE" w14:textId="77777777" w:rsidR="005023B3" w:rsidRPr="00485DCA" w:rsidRDefault="005023B3" w:rsidP="00767F8E">
            <w:pPr>
              <w:pStyle w:val="Akapitzlist"/>
              <w:numPr>
                <w:ilvl w:val="0"/>
                <w:numId w:val="13"/>
              </w:num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color w:val="000000"/>
                <w:sz w:val="18"/>
                <w:szCs w:val="18"/>
              </w:rPr>
              <w:t>B.77. „Leczenie chorych na chłoniaki CD30+ (C 81; C 84.5)”, z jednoczesnym:</w:t>
            </w:r>
          </w:p>
          <w:p w14:paraId="125FAFDF" w14:textId="77777777" w:rsidR="005023B3" w:rsidRPr="00485DCA" w:rsidRDefault="005023B3" w:rsidP="00767F8E">
            <w:pPr>
              <w:pStyle w:val="Akapitzlist"/>
              <w:numPr>
                <w:ilvl w:val="0"/>
                <w:numId w:val="13"/>
              </w:num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color w:val="000000"/>
                <w:sz w:val="18"/>
                <w:szCs w:val="18"/>
              </w:rPr>
              <w:t>udostępnieniem terapii brentuksymabem vedotin w skojarzeniu z cyklofosfamidem, doksorubicyną i prednizonem (CHP) w I linii leczenia dorosłych chorych na układowego chłoniaka anaplastycznego z dużych komórek (sALCL).</w:t>
            </w:r>
          </w:p>
          <w:p w14:paraId="7BEABA1A" w14:textId="77777777" w:rsidR="005023B3" w:rsidRPr="00485DCA" w:rsidRDefault="005023B3" w:rsidP="00767F8E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color w:val="000000"/>
                <w:sz w:val="18"/>
                <w:szCs w:val="18"/>
              </w:rPr>
              <w:t>Zniesienie kryterium kwalifikacyjnego do leczenia chorych na chłoniaka sALCL ze stwierdzonym nawrotem lub opornością na leczenie, tj.: „nieobecność przeciwwskazań do allogenicznego przeszczepienia komórek krwiotwórczych w razie uzyskania odpowiedzi częściowej”.</w:t>
            </w:r>
          </w:p>
        </w:tc>
      </w:tr>
      <w:tr w:rsidR="005023B3" w:rsidRPr="005F7844" w14:paraId="1C2466CA" w14:textId="77777777" w:rsidTr="00767F8E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07C285" w14:textId="77777777" w:rsidR="005023B3" w:rsidRPr="00485DCA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13.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E424E" w14:textId="77777777" w:rsidR="005023B3" w:rsidRPr="00485DCA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color w:val="000000"/>
                <w:sz w:val="18"/>
                <w:szCs w:val="18"/>
              </w:rPr>
              <w:t>B.71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0289F2" w14:textId="77777777" w:rsidR="005023B3" w:rsidRPr="00485DCA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sz w:val="18"/>
                <w:szCs w:val="18"/>
              </w:rPr>
              <w:t>LECZENIE TERAPIĄ BEZINTERFERONOWĄ CHORYCH NA PRZEWLEKŁE WIRUSOWE ZAPALENIE WĄTROBY TYPU C (ICD-10: B18.2)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2DA10" w14:textId="77777777" w:rsidR="005023B3" w:rsidRPr="00485DCA" w:rsidRDefault="005023B3" w:rsidP="00767F8E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color w:val="000000"/>
                <w:sz w:val="18"/>
                <w:szCs w:val="18"/>
              </w:rPr>
              <w:t>Zmiany w programie lekowym o charakterze porządkującym. Zaktualizowano wskaźniki dokumentujące stopień zaawansowania choroby wątroby poprzez dodanie wskaźnika APRI oraz FIB-4. Zniesiono konieczność oznaczania genotypu HCV w przypadku pacjentów włączonych pierwszorazowo do terapii pangenotypowej. Dodatkowo zmianie uległy zapisy dotyczące monitorowania leczenia w programie – w określonych przypadkach klinicznych możliwe jest odstąpienie od wizyt monitorujących leczenie w trakcie terapii.</w:t>
            </w:r>
          </w:p>
        </w:tc>
      </w:tr>
      <w:tr w:rsidR="005023B3" w:rsidRPr="005F7844" w14:paraId="5328CB1F" w14:textId="77777777" w:rsidTr="00767F8E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81818" w14:textId="77777777" w:rsidR="005023B3" w:rsidRPr="00485DCA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14.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119D9" w14:textId="77777777" w:rsidR="005023B3" w:rsidRPr="00485DCA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sz w:val="18"/>
                <w:szCs w:val="18"/>
              </w:rPr>
              <w:t>B.75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97E75" w14:textId="77777777" w:rsidR="005023B3" w:rsidRPr="00485DCA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sz w:val="18"/>
                <w:szCs w:val="18"/>
              </w:rPr>
              <w:t>LECZENIE ZIARNINIAKOWATOŚCI Z ZAPALENIEM NACZYŃ (GPA) LUB MIKROSKOPOWEGO ZAPALENIA NACZYŃ (MPA) (ICD-10: M31.3, M31.8)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154C9C" w14:textId="77777777" w:rsidR="005023B3" w:rsidRPr="00485DCA" w:rsidRDefault="005023B3" w:rsidP="00767F8E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color w:val="000000"/>
                <w:sz w:val="18"/>
                <w:szCs w:val="18"/>
              </w:rPr>
              <w:t>Wprowadzenie zmian zapisów dotyczących leczenia podtrzymującego rytuksymabem oraz związane z tym zmiany w zakresie kryteriów zakończenia leczenia w programie lekowym i badań diagnostycznych.</w:t>
            </w:r>
          </w:p>
        </w:tc>
      </w:tr>
      <w:tr w:rsidR="005023B3" w:rsidRPr="005F7844" w14:paraId="7112DC44" w14:textId="77777777" w:rsidTr="00767F8E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544EB" w14:textId="77777777" w:rsidR="005023B3" w:rsidRPr="00485DCA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15.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31D159" w14:textId="77777777" w:rsidR="005023B3" w:rsidRPr="00485DCA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color w:val="000000"/>
                <w:sz w:val="18"/>
                <w:szCs w:val="18"/>
              </w:rPr>
              <w:t>B.77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92556" w14:textId="77777777" w:rsidR="005023B3" w:rsidRPr="00485DCA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CHORYCH NA </w:t>
            </w:r>
            <w:r w:rsidRPr="00485DCA">
              <w:rPr>
                <w:rFonts w:ascii="Lato" w:hAnsi="Lato" w:cstheme="majorHAnsi"/>
                <w:color w:val="000000"/>
                <w:sz w:val="18"/>
                <w:szCs w:val="18"/>
              </w:rPr>
              <w:br/>
              <w:t>KLASYCZNEGO CHŁONIAKA HODGKINA (ICD-10: C81)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A448F" w14:textId="77777777" w:rsidR="005023B3" w:rsidRPr="00485DCA" w:rsidRDefault="005023B3" w:rsidP="00767F8E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color w:val="000000"/>
                <w:sz w:val="18"/>
                <w:szCs w:val="18"/>
              </w:rPr>
              <w:t>Połączenie w jeden program lekowy „Leczenie chorych na klasycznego chłoniaka Hodgkina (ICD-10: C81)” aktualnie refundowanych terapii we wskazaniu leczenie chorych na chłoniaka Hodgkina w ramach programów lekowych:</w:t>
            </w:r>
          </w:p>
          <w:p w14:paraId="6B050680" w14:textId="77777777" w:rsidR="005023B3" w:rsidRPr="00485DCA" w:rsidRDefault="005023B3" w:rsidP="00767F8E">
            <w:pPr>
              <w:pStyle w:val="Akapitzlist"/>
              <w:numPr>
                <w:ilvl w:val="0"/>
                <w:numId w:val="14"/>
              </w:num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color w:val="000000"/>
                <w:sz w:val="18"/>
                <w:szCs w:val="18"/>
              </w:rPr>
              <w:t>B.77. „Leczenie chorych na chłoniaki CD30+ (C 81; C 84.5)” oraz</w:t>
            </w:r>
          </w:p>
          <w:p w14:paraId="3AD75390" w14:textId="77777777" w:rsidR="005023B3" w:rsidRPr="00485DCA" w:rsidRDefault="005023B3" w:rsidP="00767F8E">
            <w:pPr>
              <w:pStyle w:val="Akapitzlist"/>
              <w:numPr>
                <w:ilvl w:val="0"/>
                <w:numId w:val="14"/>
              </w:num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color w:val="000000"/>
                <w:sz w:val="18"/>
                <w:szCs w:val="18"/>
              </w:rPr>
              <w:t>B.100. „Leczenie chorych na oporną i nawrotową postać klasycznego chłoniaka Hodgkina z zastosowaniem niwolumabu (ICD-10: C81)”, z jednoczesnym:</w:t>
            </w:r>
          </w:p>
          <w:p w14:paraId="71AD86EA" w14:textId="77777777" w:rsidR="005023B3" w:rsidRPr="00485DCA" w:rsidRDefault="005023B3" w:rsidP="00767F8E">
            <w:pPr>
              <w:pStyle w:val="Akapitzlist"/>
              <w:numPr>
                <w:ilvl w:val="0"/>
                <w:numId w:val="14"/>
              </w:num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color w:val="000000"/>
                <w:sz w:val="18"/>
                <w:szCs w:val="18"/>
              </w:rPr>
              <w:t>zniesieniem kryterium kwalifikacyjnego do leczenia brentuksymabem vedotin chorych na chłoniaka Hodgkina ze stwierdzonym nawrotem lub opornością na leczenie, tj.: „nieobecność przeciwwskazań do allogenicznego przeszczepienia komórek krwiotwórczych w razie uzyskania odpowiedzi częściowej”.</w:t>
            </w:r>
          </w:p>
          <w:p w14:paraId="291DA36A" w14:textId="77777777" w:rsidR="005023B3" w:rsidRPr="00485DCA" w:rsidRDefault="005023B3" w:rsidP="00767F8E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color w:val="000000"/>
                <w:sz w:val="18"/>
                <w:szCs w:val="18"/>
              </w:rPr>
              <w:t>Zmiany w kryteriach kwalifikacji do leczenia niwolumabem (umożliwienie leczenia w przypadku nawrotu lub oporności na leczenie brentuksymabem vedotin, gdy auto-HSCT nie stanowiło opcji leczenia, umożliwienie leczenia pacjentów o stanie sprawności wg ECOG: 2).</w:t>
            </w:r>
          </w:p>
        </w:tc>
      </w:tr>
      <w:tr w:rsidR="005023B3" w:rsidRPr="005F7844" w14:paraId="62C20372" w14:textId="77777777" w:rsidTr="00767F8E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916D5" w14:textId="77777777" w:rsidR="005023B3" w:rsidRPr="00485DCA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lastRenderedPageBreak/>
              <w:t>16.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DEC94" w14:textId="77777777" w:rsidR="005023B3" w:rsidRPr="00485DCA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color w:val="000000"/>
                <w:sz w:val="18"/>
                <w:szCs w:val="18"/>
              </w:rPr>
              <w:t>B.79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9C5B4" w14:textId="77777777" w:rsidR="005023B3" w:rsidRPr="00485DCA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PRZEWLEKŁĄ BIAŁACZKĘ LIMFOCYTOWĄ (ICD-10: C91.1)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25F5C" w14:textId="77777777" w:rsidR="005023B3" w:rsidRPr="00485DCA" w:rsidRDefault="005023B3" w:rsidP="00767F8E">
            <w:p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Połączenie w jeden scalony program lekowy B.79. „Leczenie chorych na przewlekłą białaczkę limfocytową (ICD-10: C91.1)” aktualnie refundowanych terapii w ramach programów lekowych: </w:t>
            </w:r>
          </w:p>
          <w:p w14:paraId="4FF12583" w14:textId="77777777" w:rsidR="005023B3" w:rsidRPr="00485DCA" w:rsidRDefault="005023B3" w:rsidP="00767F8E">
            <w:pPr>
              <w:pStyle w:val="Akapitzlist"/>
              <w:numPr>
                <w:ilvl w:val="0"/>
                <w:numId w:val="15"/>
              </w:num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B.79. „Leczenie przewlekłej białaczki limfocytowej obinutuzumabem (ICD 10: C.91.1)”, </w:t>
            </w:r>
          </w:p>
          <w:p w14:paraId="7138EB4D" w14:textId="77777777" w:rsidR="005023B3" w:rsidRPr="00485DCA" w:rsidRDefault="005023B3" w:rsidP="00767F8E">
            <w:pPr>
              <w:pStyle w:val="Akapitzlist"/>
              <w:numPr>
                <w:ilvl w:val="0"/>
                <w:numId w:val="15"/>
              </w:num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B.92. „Leczenie chorych na przewlekłą białaczkę limfocytową ibrutynibem (ICD 10: C91.1)”, </w:t>
            </w:r>
          </w:p>
          <w:p w14:paraId="2FA7EB93" w14:textId="77777777" w:rsidR="005023B3" w:rsidRPr="00485DCA" w:rsidRDefault="005023B3" w:rsidP="00767F8E">
            <w:pPr>
              <w:pStyle w:val="Akapitzlist"/>
              <w:numPr>
                <w:ilvl w:val="0"/>
                <w:numId w:val="15"/>
              </w:num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color w:val="000000"/>
                <w:sz w:val="18"/>
                <w:szCs w:val="18"/>
              </w:rPr>
              <w:t>B.103. „Leczenie chorych na przewlekłą białaczkę limfocytową wenetoklaksem (ICD-10: C.91.1)”, z jednoczesnym:</w:t>
            </w:r>
            <w:r w:rsidRPr="00485DCA">
              <w:rPr>
                <w:rFonts w:ascii="Lato" w:hAnsi="Lato" w:cstheme="majorHAnsi"/>
                <w:color w:val="000000"/>
                <w:sz w:val="18"/>
                <w:szCs w:val="18"/>
              </w:rPr>
              <w:tab/>
            </w:r>
          </w:p>
          <w:p w14:paraId="580530F4" w14:textId="77777777" w:rsidR="005023B3" w:rsidRPr="00485DCA" w:rsidRDefault="005023B3" w:rsidP="00767F8E">
            <w:pPr>
              <w:pStyle w:val="Akapitzlist"/>
              <w:numPr>
                <w:ilvl w:val="0"/>
                <w:numId w:val="15"/>
              </w:num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color w:val="000000"/>
                <w:sz w:val="18"/>
                <w:szCs w:val="18"/>
              </w:rPr>
              <w:t>udostępnienie terapii ibrutynibem i akalabrutynibem w I linii leczenia</w:t>
            </w:r>
            <w:r w:rsidRPr="00485DCA">
              <w:rPr>
                <w:rFonts w:ascii="Lato" w:hAnsi="Lato"/>
                <w:sz w:val="18"/>
                <w:szCs w:val="18"/>
              </w:rPr>
              <w:t xml:space="preserve"> </w:t>
            </w:r>
            <w:r w:rsidRPr="00485DC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dorosłych chorych na przewlekłą białaczkę limfocytową z delecją 17p (del17p) / mutacją w genie </w:t>
            </w:r>
            <w:r w:rsidRPr="00485DCA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TP53</w:t>
            </w:r>
            <w:r w:rsidRPr="00485DC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(mut</w:t>
            </w:r>
            <w:r w:rsidRPr="00485DCA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TP53</w:t>
            </w:r>
            <w:r w:rsidRPr="00485DC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) lub niezmutowanym statusem </w:t>
            </w:r>
            <w:r w:rsidRPr="00485DCA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IgHV </w:t>
            </w:r>
            <w:r w:rsidRPr="00485DCA">
              <w:rPr>
                <w:rFonts w:ascii="Lato" w:hAnsi="Lato" w:cstheme="majorHAnsi"/>
                <w:color w:val="000000"/>
                <w:sz w:val="18"/>
                <w:szCs w:val="18"/>
              </w:rPr>
              <w:t>oraz</w:t>
            </w:r>
          </w:p>
          <w:p w14:paraId="5A33F694" w14:textId="77777777" w:rsidR="005023B3" w:rsidRPr="00485DCA" w:rsidRDefault="005023B3" w:rsidP="00767F8E">
            <w:pPr>
              <w:pStyle w:val="Akapitzlist"/>
              <w:numPr>
                <w:ilvl w:val="0"/>
                <w:numId w:val="15"/>
              </w:num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color w:val="000000"/>
                <w:sz w:val="18"/>
                <w:szCs w:val="18"/>
              </w:rPr>
              <w:t>udostępnienie terapii akalabrutynibem od II linii leczenia.</w:t>
            </w:r>
          </w:p>
          <w:p w14:paraId="168761DC" w14:textId="77777777" w:rsidR="005023B3" w:rsidRPr="00485DCA" w:rsidRDefault="005023B3" w:rsidP="00767F8E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Rozszerzenie aktualnie refundowanego wskazania dla ibrutynibu od II linii leczenia pacjentów bez delecji 17p (del17p) / mutacją w genie </w:t>
            </w:r>
            <w:r w:rsidRPr="00485DCA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TP53</w:t>
            </w:r>
            <w:r w:rsidRPr="00485DC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(mut</w:t>
            </w:r>
            <w:r w:rsidRPr="00485DCA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TP53</w:t>
            </w:r>
            <w:r w:rsidRPr="00485DCA">
              <w:rPr>
                <w:rFonts w:ascii="Lato" w:hAnsi="Lato" w:cstheme="majorHAnsi"/>
                <w:color w:val="000000"/>
                <w:sz w:val="18"/>
                <w:szCs w:val="18"/>
              </w:rPr>
              <w:t>).</w:t>
            </w:r>
          </w:p>
        </w:tc>
      </w:tr>
      <w:tr w:rsidR="005023B3" w:rsidRPr="005F7844" w14:paraId="05A8348E" w14:textId="77777777" w:rsidTr="00767F8E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B140A" w14:textId="77777777" w:rsidR="005023B3" w:rsidRPr="00485DCA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17.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CA57D" w14:textId="77777777" w:rsidR="005023B3" w:rsidRPr="00485DCA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sz w:val="18"/>
                <w:szCs w:val="18"/>
              </w:rPr>
              <w:t>B.90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58ECB" w14:textId="77777777" w:rsidR="005023B3" w:rsidRPr="00485DCA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sz w:val="18"/>
                <w:szCs w:val="18"/>
              </w:rPr>
              <w:t>LECZENIE ZABURZEŃ MOTORYCZNYCH W PRZEBIEGU ZAAWANSOWANEJ CHOROBY PARKINSONA (ICD-10: G.20)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3C840" w14:textId="77777777" w:rsidR="005023B3" w:rsidRPr="00485DCA" w:rsidRDefault="005023B3" w:rsidP="00767F8E">
            <w:p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sz w:val="18"/>
                <w:szCs w:val="18"/>
              </w:rPr>
              <w:t>Wprowadzenie zmian w treści programu lekowego w zakresie:</w:t>
            </w:r>
          </w:p>
          <w:p w14:paraId="25163C88" w14:textId="77777777" w:rsidR="005023B3" w:rsidRPr="00485DCA" w:rsidRDefault="005023B3" w:rsidP="005023B3">
            <w:pPr>
              <w:pStyle w:val="Akapitzlist"/>
              <w:numPr>
                <w:ilvl w:val="0"/>
                <w:numId w:val="21"/>
              </w:num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sz w:val="18"/>
                <w:szCs w:val="18"/>
              </w:rPr>
              <w:t>aktualizacji kryteriów diagnostycznych na MDS Clinical Diagnostic Criteria for Parkinson’s Disease;</w:t>
            </w:r>
          </w:p>
          <w:p w14:paraId="611CFBDB" w14:textId="77777777" w:rsidR="005023B3" w:rsidRPr="00485DCA" w:rsidRDefault="005023B3" w:rsidP="005023B3">
            <w:pPr>
              <w:pStyle w:val="Akapitzlist"/>
              <w:numPr>
                <w:ilvl w:val="0"/>
                <w:numId w:val="21"/>
              </w:num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sz w:val="18"/>
                <w:szCs w:val="18"/>
              </w:rPr>
              <w:t>aktualizacji kryteriów czasu trwania choroby na co najmniej 5 lat;</w:t>
            </w:r>
          </w:p>
          <w:p w14:paraId="2FF6E138" w14:textId="77777777" w:rsidR="005023B3" w:rsidRPr="00485DCA" w:rsidRDefault="005023B3" w:rsidP="005023B3">
            <w:pPr>
              <w:pStyle w:val="Akapitzlist"/>
              <w:numPr>
                <w:ilvl w:val="0"/>
                <w:numId w:val="21"/>
              </w:num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sz w:val="18"/>
                <w:szCs w:val="18"/>
              </w:rPr>
              <w:t>aktualizacji kryteriów dotyczących występowania stanów off/on i dyskinez;</w:t>
            </w:r>
          </w:p>
          <w:p w14:paraId="2D2AE0F6" w14:textId="77777777" w:rsidR="005023B3" w:rsidRPr="00485DCA" w:rsidRDefault="005023B3" w:rsidP="005023B3">
            <w:pPr>
              <w:pStyle w:val="Akapitzlist"/>
              <w:numPr>
                <w:ilvl w:val="0"/>
                <w:numId w:val="21"/>
              </w:num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sz w:val="18"/>
                <w:szCs w:val="18"/>
              </w:rPr>
              <w:t>doprecyzowania kryteriów potwierdzonej skuteczności lewodopy;</w:t>
            </w:r>
          </w:p>
          <w:p w14:paraId="6104F902" w14:textId="77777777" w:rsidR="005023B3" w:rsidRPr="00485DCA" w:rsidRDefault="005023B3" w:rsidP="005023B3">
            <w:pPr>
              <w:pStyle w:val="Akapitzlist"/>
              <w:numPr>
                <w:ilvl w:val="0"/>
                <w:numId w:val="21"/>
              </w:num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sz w:val="18"/>
                <w:szCs w:val="18"/>
              </w:rPr>
              <w:t>uwzględnienia konieczności wcześniejszego stosowania przynajmniej trzech leków przeciwparkinsonowych; (wymóg dotyczy jedynie kwalifikacji do lewodopy z karbidopą);</w:t>
            </w:r>
          </w:p>
          <w:p w14:paraId="16D1B20C" w14:textId="77777777" w:rsidR="005023B3" w:rsidRPr="00485DCA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sz w:val="18"/>
                <w:szCs w:val="18"/>
              </w:rPr>
              <w:t>aktualizacji kryteriów oceny odpowiedzi na leczenie i ewentualnego wyłączenia pacjentów z programu.</w:t>
            </w:r>
          </w:p>
        </w:tc>
      </w:tr>
      <w:tr w:rsidR="005023B3" w:rsidRPr="005F7844" w14:paraId="4F5A179D" w14:textId="77777777" w:rsidTr="00767F8E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4D5EC" w14:textId="77777777" w:rsidR="005023B3" w:rsidRPr="00485DCA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18.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F8A42" w14:textId="77777777" w:rsidR="005023B3" w:rsidRPr="00485DCA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color w:val="000000"/>
                <w:sz w:val="18"/>
                <w:szCs w:val="18"/>
              </w:rPr>
              <w:t>B.97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809C7" w14:textId="77777777" w:rsidR="005023B3" w:rsidRPr="00485DCA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85DCA">
              <w:rPr>
                <w:rFonts w:ascii="Lato" w:hAnsi="Lato"/>
                <w:sz w:val="18"/>
                <w:szCs w:val="18"/>
              </w:rPr>
              <w:t>LECZENIE DOROSŁYCH CHORYCH NA PIERWOTNĄ MAŁOPŁYTKOWOŚĆ IMMUNOLOGICZNĄ (ICD-10: D69.3)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BDE40" w14:textId="77777777" w:rsidR="005023B3" w:rsidRPr="00485DCA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color w:val="000000"/>
                <w:sz w:val="18"/>
                <w:szCs w:val="18"/>
              </w:rPr>
              <w:t>Ujednolicenie kryteriów kwalifikacji do programu dla eltrombopagu, romiplostymu i awatrombopagu poprzez usunięcie zapisu o przeciwskazaniu do wykonania splenektomii lub nieskuteczności splenektomii. Wydłużeniu uległ okres między badaniami okulistycznymi w przypadku leczenia eltrombopagiem z 3 na 12 miesięcy.</w:t>
            </w:r>
          </w:p>
        </w:tc>
      </w:tr>
      <w:tr w:rsidR="005023B3" w:rsidRPr="005F7844" w14:paraId="00260DCC" w14:textId="77777777" w:rsidTr="00767F8E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8BE1F" w14:textId="77777777" w:rsidR="005023B3" w:rsidRPr="00485DCA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19.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28E2A" w14:textId="77777777" w:rsidR="005023B3" w:rsidRPr="00485DCA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color w:val="000000"/>
                <w:sz w:val="18"/>
                <w:szCs w:val="18"/>
              </w:rPr>
              <w:t>B.97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4D877" w14:textId="77777777" w:rsidR="005023B3" w:rsidRPr="00485DCA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color w:val="000000"/>
                <w:sz w:val="18"/>
                <w:szCs w:val="18"/>
              </w:rPr>
              <w:t>LECZENIE DOROSŁYCH CHORYCH NA PIERWOTNĄ MAŁOPŁYTKOWOŚĆ IMMUNOLOGICZNĄ (ICD-10: D69.3)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14D0E" w14:textId="77777777" w:rsidR="005023B3" w:rsidRPr="00485DCA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color w:val="000000"/>
                <w:sz w:val="18"/>
                <w:szCs w:val="18"/>
              </w:rPr>
              <w:t>Dodanie trwałej remisji choroby niewymagającej jakiegokolwiek leczenia jako kryterium wyłączenia oraz doprecyzowanie zapisów w kryteriach kwalifikacji do leczenia awatrombopagiem.</w:t>
            </w:r>
          </w:p>
        </w:tc>
      </w:tr>
      <w:tr w:rsidR="005023B3" w:rsidRPr="005F7844" w14:paraId="592673DE" w14:textId="77777777" w:rsidTr="00767F8E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BFA63" w14:textId="77777777" w:rsidR="005023B3" w:rsidRPr="00485DCA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lastRenderedPageBreak/>
              <w:t>20.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19968" w14:textId="77777777" w:rsidR="005023B3" w:rsidRPr="00485DCA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color w:val="000000"/>
                <w:sz w:val="18"/>
                <w:szCs w:val="18"/>
              </w:rPr>
              <w:t>C.70.d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71328" w14:textId="77777777" w:rsidR="005023B3" w:rsidRPr="00485DCA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85DCA">
              <w:rPr>
                <w:rFonts w:ascii="Lato" w:hAnsi="Lato"/>
                <w:i/>
                <w:iCs/>
                <w:sz w:val="18"/>
                <w:szCs w:val="18"/>
              </w:rPr>
              <w:t>IMATINIB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6C058" w14:textId="77777777" w:rsidR="005023B3" w:rsidRPr="00485DCA" w:rsidRDefault="005023B3" w:rsidP="00767F8E">
            <w:pPr>
              <w:suppressAutoHyphens w:val="0"/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sz w:val="18"/>
                <w:szCs w:val="18"/>
              </w:rPr>
              <w:t>Zmiana kategorii dostępności refundacyjnej imatynibu:</w:t>
            </w:r>
          </w:p>
          <w:p w14:paraId="71CDCF80" w14:textId="77777777" w:rsidR="005023B3" w:rsidRPr="00485DCA" w:rsidRDefault="005023B3" w:rsidP="005023B3">
            <w:pPr>
              <w:pStyle w:val="Akapitzlist"/>
              <w:numPr>
                <w:ilvl w:val="0"/>
                <w:numId w:val="33"/>
              </w:numPr>
              <w:suppressAutoHyphens w:val="0"/>
              <w:spacing w:before="60" w:after="60" w:line="240" w:lineRule="auto"/>
              <w:rPr>
                <w:rFonts w:ascii="Lato" w:hAnsi="Lato" w:cstheme="majorHAnsi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sz w:val="18"/>
                <w:szCs w:val="18"/>
              </w:rPr>
              <w:t>z programu lekowego B.3 - LECZENIE NOWOTWORÓW PODŚCIELISKA PRZEWODU POKARMOWEGO (GIST) (ICD-10 C 15, C 16, C 17, C 18, C 20, C 48) do katalogu chemioterapii C.70.d</w:t>
            </w:r>
          </w:p>
          <w:p w14:paraId="7F9E520A" w14:textId="77777777" w:rsidR="005023B3" w:rsidRPr="00485DCA" w:rsidRDefault="005023B3" w:rsidP="00767F8E">
            <w:pPr>
              <w:suppressAutoHyphens w:val="0"/>
              <w:spacing w:before="60" w:after="60" w:line="240" w:lineRule="auto"/>
              <w:rPr>
                <w:rFonts w:ascii="Lato" w:hAnsi="Lato" w:cstheme="majorHAnsi"/>
                <w:sz w:val="18"/>
                <w:szCs w:val="18"/>
              </w:rPr>
            </w:pPr>
          </w:p>
          <w:p w14:paraId="77BE433D" w14:textId="77777777" w:rsidR="005023B3" w:rsidRPr="00485DCA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sz w:val="18"/>
                <w:szCs w:val="18"/>
              </w:rPr>
              <w:t>W leczeniu nowotworów podścieliska przewodu pokarmowego (GIST) dodany został kod ICD-10 C19, który nie był uwzględniony w uprzednio obowiązującym programie lekowym B.3.</w:t>
            </w:r>
          </w:p>
        </w:tc>
      </w:tr>
      <w:tr w:rsidR="005023B3" w:rsidRPr="005F7844" w14:paraId="028A32D9" w14:textId="77777777" w:rsidTr="00767F8E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7FD77" w14:textId="77777777" w:rsidR="005023B3" w:rsidRPr="00485DCA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21.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0394B4" w14:textId="77777777" w:rsidR="005023B3" w:rsidRPr="00485DCA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color w:val="000000"/>
                <w:sz w:val="18"/>
                <w:szCs w:val="18"/>
              </w:rPr>
              <w:t>C.84.a</w:t>
            </w:r>
          </w:p>
          <w:p w14:paraId="526C6208" w14:textId="77777777" w:rsidR="005023B3" w:rsidRPr="00485DCA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color w:val="000000"/>
                <w:sz w:val="18"/>
                <w:szCs w:val="18"/>
              </w:rPr>
              <w:t>C.84.b</w:t>
            </w:r>
          </w:p>
          <w:p w14:paraId="22F99FEE" w14:textId="77777777" w:rsidR="005023B3" w:rsidRPr="00485DCA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color w:val="000000"/>
                <w:sz w:val="18"/>
                <w:szCs w:val="18"/>
              </w:rPr>
              <w:t>C.84.c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92AD3" w14:textId="77777777" w:rsidR="005023B3" w:rsidRPr="00A85787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A8578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LENALIDOMIDUM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6CD7CB" w14:textId="77777777" w:rsidR="005023B3" w:rsidRPr="00485DCA" w:rsidRDefault="005023B3" w:rsidP="00767F8E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color w:val="000000"/>
                <w:sz w:val="18"/>
                <w:szCs w:val="18"/>
              </w:rPr>
              <w:t>Zmiana kategorii dostępności refundacyjnej dla lenalidomidu:</w:t>
            </w:r>
          </w:p>
          <w:p w14:paraId="469F32E1" w14:textId="77777777" w:rsidR="005023B3" w:rsidRPr="00485DCA" w:rsidRDefault="005023B3" w:rsidP="00767F8E">
            <w:pPr>
              <w:pStyle w:val="Akapitzlist"/>
              <w:numPr>
                <w:ilvl w:val="0"/>
                <w:numId w:val="16"/>
              </w:num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color w:val="000000"/>
                <w:sz w:val="18"/>
                <w:szCs w:val="18"/>
              </w:rPr>
              <w:t>z programu lekowego B.54. do katalogu chemioterapii C.84.a,</w:t>
            </w:r>
          </w:p>
          <w:p w14:paraId="646FBB0D" w14:textId="77777777" w:rsidR="005023B3" w:rsidRPr="00485DCA" w:rsidRDefault="005023B3" w:rsidP="00767F8E">
            <w:pPr>
              <w:pStyle w:val="Akapitzlist"/>
              <w:numPr>
                <w:ilvl w:val="0"/>
                <w:numId w:val="16"/>
              </w:num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color w:val="000000"/>
                <w:sz w:val="18"/>
                <w:szCs w:val="18"/>
              </w:rPr>
              <w:t>z programu lekowego B.84. do katalogu chemioterapii C.84.b,</w:t>
            </w:r>
          </w:p>
          <w:p w14:paraId="2D67CF58" w14:textId="77777777" w:rsidR="005023B3" w:rsidRPr="00485DCA" w:rsidRDefault="005023B3" w:rsidP="00767F8E">
            <w:pPr>
              <w:pStyle w:val="Akapitzlist"/>
              <w:numPr>
                <w:ilvl w:val="0"/>
                <w:numId w:val="16"/>
              </w:num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color w:val="000000"/>
                <w:sz w:val="18"/>
                <w:szCs w:val="18"/>
              </w:rPr>
              <w:t>z programu lekowego B.93. do katalogu chemioterapii C.84.c.</w:t>
            </w:r>
          </w:p>
        </w:tc>
      </w:tr>
      <w:tr w:rsidR="005023B3" w:rsidRPr="005F7844" w14:paraId="120F9624" w14:textId="77777777" w:rsidTr="00767F8E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D5413" w14:textId="77777777" w:rsidR="005023B3" w:rsidRPr="00485DCA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22.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F1AF3" w14:textId="77777777" w:rsidR="005023B3" w:rsidRPr="00485DCA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sz w:val="18"/>
                <w:szCs w:val="18"/>
              </w:rPr>
              <w:t>C.86.a</w:t>
            </w:r>
          </w:p>
          <w:p w14:paraId="7E598FAA" w14:textId="77777777" w:rsidR="005023B3" w:rsidRPr="00485DCA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sz w:val="18"/>
                <w:szCs w:val="18"/>
              </w:rPr>
              <w:t>C.86.b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974EF" w14:textId="77777777" w:rsidR="005023B3" w:rsidRPr="00485DCA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i/>
                <w:iCs/>
                <w:sz w:val="18"/>
                <w:szCs w:val="18"/>
              </w:rPr>
              <w:t>TRASTUZUMABUM I.V.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7C85F" w14:textId="77777777" w:rsidR="005023B3" w:rsidRPr="00485DCA" w:rsidRDefault="005023B3" w:rsidP="00767F8E">
            <w:pPr>
              <w:suppressAutoHyphens w:val="0"/>
              <w:spacing w:before="60" w:after="60" w:line="240" w:lineRule="auto"/>
              <w:rPr>
                <w:rFonts w:ascii="Lato" w:hAnsi="Lato" w:cstheme="majorHAnsi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sz w:val="18"/>
                <w:szCs w:val="18"/>
              </w:rPr>
              <w:t>Zmiana kategorii dostępności refundacyjnej dla trastuzumabu w formie dożylnej:</w:t>
            </w:r>
          </w:p>
          <w:p w14:paraId="7E0EAC4A" w14:textId="77777777" w:rsidR="005023B3" w:rsidRPr="00485DCA" w:rsidRDefault="005023B3" w:rsidP="005023B3">
            <w:pPr>
              <w:pStyle w:val="Akapitzlist"/>
              <w:numPr>
                <w:ilvl w:val="0"/>
                <w:numId w:val="34"/>
              </w:numPr>
              <w:suppressAutoHyphens w:val="0"/>
              <w:spacing w:before="60" w:after="60" w:line="240" w:lineRule="auto"/>
              <w:jc w:val="center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sz w:val="18"/>
                <w:szCs w:val="18"/>
              </w:rPr>
              <w:t>z programu lekowego B.9.FM – LECZENIE CHORYCH NA RAKA PIERSI (ICD-10: C50) do katalogu chemioterapii C.86.a;</w:t>
            </w:r>
          </w:p>
          <w:p w14:paraId="13F4938A" w14:textId="77777777" w:rsidR="005023B3" w:rsidRPr="00485DCA" w:rsidRDefault="005023B3" w:rsidP="005023B3">
            <w:pPr>
              <w:pStyle w:val="Akapitzlist"/>
              <w:numPr>
                <w:ilvl w:val="0"/>
                <w:numId w:val="34"/>
              </w:numPr>
              <w:suppressAutoHyphens w:val="0"/>
              <w:spacing w:before="60" w:after="60" w:line="240" w:lineRule="auto"/>
              <w:jc w:val="center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sz w:val="18"/>
                <w:szCs w:val="18"/>
              </w:rPr>
              <w:t>z programu lekowego B.58 -</w:t>
            </w:r>
            <w:r w:rsidRPr="00485DC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485DCA">
              <w:rPr>
                <w:rFonts w:ascii="Lato" w:hAnsi="Lato" w:cstheme="majorHAnsi"/>
                <w:sz w:val="18"/>
                <w:szCs w:val="18"/>
              </w:rPr>
              <w:t>LECZENIE CHORYCH NA ZAAWANSOWANEGO RAKA PRZEŁYKU I ŻOŁĄDKA (ICD-10: C15-C16) do katalogu chemioterapii C.86.b.</w:t>
            </w:r>
          </w:p>
          <w:p w14:paraId="28CCC3F7" w14:textId="77777777" w:rsidR="005023B3" w:rsidRPr="00485DCA" w:rsidRDefault="005023B3" w:rsidP="00767F8E">
            <w:pPr>
              <w:suppressAutoHyphens w:val="0"/>
              <w:spacing w:before="60" w:after="60" w:line="240" w:lineRule="auto"/>
              <w:rPr>
                <w:rFonts w:ascii="Lato" w:hAnsi="Lato" w:cstheme="majorHAnsi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sz w:val="18"/>
                <w:szCs w:val="18"/>
              </w:rPr>
              <w:t xml:space="preserve">W leczeniu raka piersi wprowadzono możliwość leczenia trastuzumabem dożylnym po progresji w połączeniu z inną terapią przeciwnowotworową. </w:t>
            </w:r>
          </w:p>
          <w:p w14:paraId="5286A25C" w14:textId="77777777" w:rsidR="005023B3" w:rsidRPr="00485DCA" w:rsidRDefault="005023B3" w:rsidP="00767F8E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sz w:val="18"/>
                <w:szCs w:val="18"/>
              </w:rPr>
              <w:t xml:space="preserve">W zakresie drugiego wskazania wprowadzono możliwość leczenia gruczolakoraka żołądka oraz połączenia przełykowo-żołądkowego trastuzumabem dożylnym, a także umożliwiono skojarzenie terapii z oksaliplatyną. </w:t>
            </w:r>
          </w:p>
        </w:tc>
      </w:tr>
      <w:tr w:rsidR="005023B3" w:rsidRPr="005F7844" w14:paraId="1F213746" w14:textId="77777777" w:rsidTr="00767F8E">
        <w:trPr>
          <w:cantSplit/>
          <w:trHeight w:val="949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FF9A12" w14:textId="77777777" w:rsidR="005023B3" w:rsidRPr="00485DCA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23.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6B12E" w14:textId="77777777" w:rsidR="005023B3" w:rsidRPr="00485DCA" w:rsidRDefault="005023B3" w:rsidP="00767F8E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sz w:val="18"/>
                <w:szCs w:val="18"/>
              </w:rPr>
              <w:t>C.87.a</w:t>
            </w:r>
          </w:p>
          <w:p w14:paraId="7388094D" w14:textId="77777777" w:rsidR="005023B3" w:rsidRPr="00485DCA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sz w:val="18"/>
                <w:szCs w:val="18"/>
              </w:rPr>
              <w:t>C.87.b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9B5C6" w14:textId="77777777" w:rsidR="005023B3" w:rsidRPr="00A85787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A85787">
              <w:rPr>
                <w:rFonts w:ascii="Lato" w:hAnsi="Lato" w:cstheme="majorHAnsi"/>
                <w:i/>
                <w:iCs/>
                <w:sz w:val="18"/>
                <w:szCs w:val="18"/>
              </w:rPr>
              <w:t>OCTAN ABIRATERONU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F4EDC" w14:textId="77777777" w:rsidR="005023B3" w:rsidRPr="00485DCA" w:rsidRDefault="005023B3" w:rsidP="00767F8E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color w:val="000000"/>
                <w:sz w:val="18"/>
                <w:szCs w:val="18"/>
              </w:rPr>
              <w:t>Zmiana kategorii dostępności refundacyjnej dla octanu abirateronu z programu lekowego B.56 - LECZENIE CHORYCH OPORNEGO NA KASTRACJĘ RAKA GRUCZOŁU KROKOWEGO (ICD-10: C61) do katalogów chemioterapii C.87.a i C.87.b.</w:t>
            </w:r>
          </w:p>
        </w:tc>
      </w:tr>
      <w:tr w:rsidR="005023B3" w:rsidRPr="005F7844" w14:paraId="1FE20E39" w14:textId="77777777" w:rsidTr="00767F8E">
        <w:trPr>
          <w:cantSplit/>
          <w:trHeight w:val="949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523AE4" w14:textId="77777777" w:rsidR="005023B3" w:rsidRPr="00485DCA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lastRenderedPageBreak/>
              <w:t>24.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A1B16" w14:textId="77777777" w:rsidR="005023B3" w:rsidRPr="00485DCA" w:rsidRDefault="005023B3" w:rsidP="00767F8E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sz w:val="18"/>
                <w:szCs w:val="18"/>
              </w:rPr>
              <w:t>C.88.a</w:t>
            </w:r>
            <w:r w:rsidRPr="00485DCA">
              <w:rPr>
                <w:rFonts w:ascii="Lato" w:hAnsi="Lato" w:cstheme="majorHAnsi"/>
                <w:sz w:val="18"/>
                <w:szCs w:val="18"/>
              </w:rPr>
              <w:br/>
            </w:r>
            <w:r w:rsidRPr="00485DCA">
              <w:rPr>
                <w:rFonts w:ascii="Lato" w:eastAsia="Calibri" w:hAnsi="Lato" w:cstheme="majorHAnsi"/>
                <w:color w:val="000000"/>
                <w:sz w:val="18"/>
                <w:szCs w:val="18"/>
                <w:lang w:eastAsia="en-US"/>
              </w:rPr>
              <w:t>C.88.b</w:t>
            </w:r>
            <w:r w:rsidRPr="00485DCA">
              <w:rPr>
                <w:rFonts w:ascii="Lato" w:eastAsia="Calibri" w:hAnsi="Lato" w:cstheme="majorHAnsi"/>
                <w:color w:val="000000"/>
                <w:sz w:val="18"/>
                <w:szCs w:val="18"/>
                <w:lang w:eastAsia="en-US"/>
              </w:rPr>
              <w:br/>
              <w:t>C.88.c</w:t>
            </w:r>
            <w:r w:rsidRPr="00485DCA">
              <w:rPr>
                <w:rFonts w:ascii="Lato" w:eastAsia="Calibri" w:hAnsi="Lato" w:cstheme="majorHAnsi"/>
                <w:color w:val="000000"/>
                <w:sz w:val="18"/>
                <w:szCs w:val="18"/>
                <w:lang w:eastAsia="en-US"/>
              </w:rPr>
              <w:br/>
              <w:t>C.88.d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E082A" w14:textId="77777777" w:rsidR="005023B3" w:rsidRPr="00485DCA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85DCA">
              <w:rPr>
                <w:rFonts w:ascii="Lato" w:hAnsi="Lato"/>
                <w:i/>
                <w:iCs/>
                <w:sz w:val="18"/>
                <w:szCs w:val="18"/>
              </w:rPr>
              <w:t>SUNITINIB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BFFAF" w14:textId="77777777" w:rsidR="005023B3" w:rsidRPr="00485DCA" w:rsidRDefault="005023B3" w:rsidP="00767F8E">
            <w:pPr>
              <w:suppressAutoHyphens w:val="0"/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sz w:val="18"/>
                <w:szCs w:val="18"/>
              </w:rPr>
              <w:t>Zmiana kategorii dostępności refundacyjnej sunitynibu:</w:t>
            </w:r>
          </w:p>
          <w:p w14:paraId="29BCC0E8" w14:textId="77777777" w:rsidR="005023B3" w:rsidRPr="00485DCA" w:rsidRDefault="005023B3" w:rsidP="005023B3">
            <w:pPr>
              <w:pStyle w:val="Akapitzlist"/>
              <w:numPr>
                <w:ilvl w:val="0"/>
                <w:numId w:val="33"/>
              </w:numPr>
              <w:spacing w:before="60" w:after="60" w:line="240" w:lineRule="auto"/>
              <w:ind w:left="714" w:hanging="357"/>
              <w:rPr>
                <w:rFonts w:ascii="Lato" w:hAnsi="Lato" w:cstheme="majorHAnsi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sz w:val="18"/>
                <w:szCs w:val="18"/>
              </w:rPr>
              <w:t>z programu lekowego B.3 - LECZENIE NOWOTWORÓW PODŚCIELISKA PRZEWODU POKARMOWEGO (GIST) (ICD-10 C 15, C 16, C 17, C 18, C 20, C 48) do katalogu chemioterapii C.88.a,</w:t>
            </w:r>
          </w:p>
          <w:p w14:paraId="49414013" w14:textId="77777777" w:rsidR="005023B3" w:rsidRPr="00485DCA" w:rsidRDefault="005023B3" w:rsidP="005023B3">
            <w:pPr>
              <w:pStyle w:val="Akapitzlist"/>
              <w:numPr>
                <w:ilvl w:val="0"/>
                <w:numId w:val="33"/>
              </w:numPr>
              <w:suppressAutoHyphens w:val="0"/>
              <w:spacing w:before="60" w:after="60" w:line="240" w:lineRule="auto"/>
              <w:rPr>
                <w:rFonts w:ascii="Lato" w:hAnsi="Lato" w:cstheme="majorHAnsi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sz w:val="18"/>
                <w:szCs w:val="18"/>
              </w:rPr>
              <w:t>z programu lekowego B.8 - LECZENIE CHORYCH NA MIĘSAKI TKANEK MIĘKKICH (ICD-10: C48, C49) do katalogu chemioterapii C.88.b,</w:t>
            </w:r>
          </w:p>
          <w:p w14:paraId="6743F0CB" w14:textId="77777777" w:rsidR="005023B3" w:rsidRPr="00485DCA" w:rsidRDefault="005023B3" w:rsidP="005023B3">
            <w:pPr>
              <w:pStyle w:val="Akapitzlist"/>
              <w:numPr>
                <w:ilvl w:val="0"/>
                <w:numId w:val="33"/>
              </w:numPr>
              <w:spacing w:before="60" w:after="60" w:line="240" w:lineRule="auto"/>
              <w:ind w:left="714" w:hanging="357"/>
              <w:rPr>
                <w:rFonts w:ascii="Lato" w:hAnsi="Lato" w:cstheme="majorHAnsi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sz w:val="18"/>
                <w:szCs w:val="18"/>
              </w:rPr>
              <w:t>z programu lekowego B.10 - LECZENIE PACJENTÓW Z RAKIEM NERKI (ICD-10: C64) do katalogu chemioterapii C.88.c,</w:t>
            </w:r>
          </w:p>
          <w:p w14:paraId="3479780F" w14:textId="77777777" w:rsidR="005023B3" w:rsidRPr="00485DCA" w:rsidRDefault="005023B3" w:rsidP="005023B3">
            <w:pPr>
              <w:pStyle w:val="Akapitzlist"/>
              <w:numPr>
                <w:ilvl w:val="0"/>
                <w:numId w:val="33"/>
              </w:numPr>
              <w:spacing w:before="60" w:after="60" w:line="240" w:lineRule="auto"/>
              <w:ind w:left="714" w:hanging="357"/>
              <w:rPr>
                <w:rFonts w:ascii="Lato" w:hAnsi="Lato" w:cstheme="majorHAnsi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sz w:val="18"/>
                <w:szCs w:val="18"/>
              </w:rPr>
              <w:t>z programu lekowego B.53 - LECZENIE WYSOKO ZRÓŻNICOWANEGO NOWOTWORU NEUROENDOKRYNNEGO TRZUSTKI (ICD-10 C25.4) do katalogu chemioterapii C.88.d.</w:t>
            </w:r>
          </w:p>
          <w:p w14:paraId="32FFA8E6" w14:textId="77777777" w:rsidR="005023B3" w:rsidRPr="00485DCA" w:rsidRDefault="005023B3" w:rsidP="00767F8E">
            <w:pPr>
              <w:suppressAutoHyphens w:val="0"/>
              <w:spacing w:before="60" w:after="60" w:line="240" w:lineRule="auto"/>
              <w:rPr>
                <w:rFonts w:ascii="Lato" w:hAnsi="Lato" w:cstheme="majorHAnsi"/>
                <w:sz w:val="18"/>
                <w:szCs w:val="18"/>
              </w:rPr>
            </w:pPr>
          </w:p>
          <w:p w14:paraId="14FF440B" w14:textId="77777777" w:rsidR="005023B3" w:rsidRPr="00485DCA" w:rsidRDefault="005023B3" w:rsidP="00767F8E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sz w:val="18"/>
                <w:szCs w:val="18"/>
              </w:rPr>
              <w:t>W leczeniu nowotworów podścieliska przewodu pokarmowego (GIST) dodany został kod ICD-10 C19, który nie był uwzględniony w uprzednio obowiązującym programie lekowym B.3.</w:t>
            </w:r>
          </w:p>
        </w:tc>
      </w:tr>
      <w:tr w:rsidR="005023B3" w:rsidRPr="005F7844" w14:paraId="488DE9BE" w14:textId="77777777" w:rsidTr="00767F8E">
        <w:trPr>
          <w:cantSplit/>
          <w:trHeight w:val="949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86B56" w14:textId="77777777" w:rsidR="005023B3" w:rsidRPr="00485DCA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25.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4A98C8" w14:textId="77777777" w:rsidR="005023B3" w:rsidRPr="00485DCA" w:rsidRDefault="005023B3" w:rsidP="00767F8E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85DCA">
              <w:rPr>
                <w:rFonts w:ascii="Lato" w:eastAsia="Calibri" w:hAnsi="Lato" w:cstheme="majorHAnsi"/>
                <w:color w:val="000000"/>
                <w:sz w:val="18"/>
                <w:szCs w:val="18"/>
                <w:lang w:eastAsia="en-US"/>
              </w:rPr>
              <w:t>C.89.a</w:t>
            </w:r>
            <w:r w:rsidRPr="00485DCA">
              <w:rPr>
                <w:rFonts w:ascii="Lato" w:eastAsia="Calibri" w:hAnsi="Lato" w:cstheme="majorHAnsi"/>
                <w:color w:val="000000"/>
                <w:sz w:val="18"/>
                <w:szCs w:val="18"/>
                <w:lang w:eastAsia="en-US"/>
              </w:rPr>
              <w:br/>
              <w:t>C.89.b</w:t>
            </w:r>
            <w:r w:rsidRPr="00485DCA">
              <w:rPr>
                <w:rFonts w:ascii="Lato" w:eastAsia="Calibri" w:hAnsi="Lato" w:cstheme="majorHAnsi"/>
                <w:color w:val="000000"/>
                <w:sz w:val="18"/>
                <w:szCs w:val="18"/>
                <w:lang w:eastAsia="en-US"/>
              </w:rPr>
              <w:br/>
              <w:t>C.89.c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428FD" w14:textId="77777777" w:rsidR="005023B3" w:rsidRPr="00485DCA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85DCA">
              <w:rPr>
                <w:rFonts w:ascii="Lato" w:hAnsi="Lato"/>
                <w:i/>
                <w:iCs/>
                <w:sz w:val="18"/>
                <w:szCs w:val="18"/>
              </w:rPr>
              <w:t>SORAFENIB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56753" w14:textId="77777777" w:rsidR="005023B3" w:rsidRPr="00485DCA" w:rsidRDefault="005023B3" w:rsidP="00767F8E">
            <w:pPr>
              <w:suppressAutoHyphens w:val="0"/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sz w:val="18"/>
                <w:szCs w:val="18"/>
              </w:rPr>
              <w:t>Zmiana kategorii dostępności refundacyjnej sorafenibu:</w:t>
            </w:r>
          </w:p>
          <w:p w14:paraId="18C9A6E8" w14:textId="77777777" w:rsidR="005023B3" w:rsidRPr="00485DCA" w:rsidRDefault="005023B3" w:rsidP="005023B3">
            <w:pPr>
              <w:pStyle w:val="Akapitzlist"/>
              <w:numPr>
                <w:ilvl w:val="0"/>
                <w:numId w:val="33"/>
              </w:numPr>
              <w:spacing w:before="60" w:after="60" w:line="240" w:lineRule="auto"/>
              <w:ind w:left="714" w:hanging="357"/>
              <w:rPr>
                <w:rFonts w:ascii="Lato" w:hAnsi="Lato" w:cstheme="majorHAnsi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sz w:val="18"/>
                <w:szCs w:val="18"/>
              </w:rPr>
              <w:t>z programu lekowego B.3 - LECZENIE NOWOTWORÓW PODŚCIELISKA PRZEWODU POKARMOWEGO (GIST) (ICD-10 C 15, C 16, C 17, C 18, C 20, C 48) do katalogu chemioterapii C.89.a,</w:t>
            </w:r>
          </w:p>
          <w:p w14:paraId="0B14DE43" w14:textId="77777777" w:rsidR="005023B3" w:rsidRPr="00485DCA" w:rsidRDefault="005023B3" w:rsidP="005023B3">
            <w:pPr>
              <w:pStyle w:val="Akapitzlist"/>
              <w:numPr>
                <w:ilvl w:val="0"/>
                <w:numId w:val="33"/>
              </w:numPr>
              <w:spacing w:before="60" w:after="60" w:line="240" w:lineRule="auto"/>
              <w:ind w:left="714" w:hanging="357"/>
              <w:rPr>
                <w:rFonts w:ascii="Lato" w:hAnsi="Lato" w:cstheme="majorHAnsi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sz w:val="18"/>
                <w:szCs w:val="18"/>
              </w:rPr>
              <w:t>z programu lekowego B.5 - LECZENIE CHORYCH NA RAKA WĄTROBOWOKOMÓRKOWEGO (ICD-10: C22.0) do katalogu chemioterapii C.89.b,</w:t>
            </w:r>
          </w:p>
          <w:p w14:paraId="3A9F6ADC" w14:textId="77777777" w:rsidR="005023B3" w:rsidRPr="00485DCA" w:rsidRDefault="005023B3" w:rsidP="005023B3">
            <w:pPr>
              <w:pStyle w:val="Akapitzlist"/>
              <w:numPr>
                <w:ilvl w:val="0"/>
                <w:numId w:val="33"/>
              </w:numPr>
              <w:spacing w:before="60" w:after="60" w:line="240" w:lineRule="auto"/>
              <w:ind w:left="714" w:hanging="357"/>
              <w:rPr>
                <w:rFonts w:ascii="Lato" w:hAnsi="Lato" w:cstheme="majorHAnsi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sz w:val="18"/>
                <w:szCs w:val="18"/>
              </w:rPr>
              <w:t>z programu lekowego B.10 - LECZENIE PACJENTÓW Z RAKIEM NERKI (ICD-10: C64) do katalogu chemioterapii C.89.c.</w:t>
            </w:r>
          </w:p>
          <w:p w14:paraId="10D34E72" w14:textId="77777777" w:rsidR="005023B3" w:rsidRPr="00485DCA" w:rsidRDefault="005023B3" w:rsidP="00767F8E">
            <w:pPr>
              <w:suppressAutoHyphens w:val="0"/>
              <w:spacing w:before="60" w:after="60" w:line="240" w:lineRule="auto"/>
              <w:rPr>
                <w:rFonts w:ascii="Lato" w:hAnsi="Lato" w:cstheme="majorHAnsi"/>
                <w:sz w:val="18"/>
                <w:szCs w:val="18"/>
              </w:rPr>
            </w:pPr>
          </w:p>
          <w:p w14:paraId="15751AB2" w14:textId="77777777" w:rsidR="005023B3" w:rsidRPr="00485DCA" w:rsidRDefault="005023B3" w:rsidP="00767F8E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sz w:val="18"/>
                <w:szCs w:val="18"/>
              </w:rPr>
              <w:t>W leczeniu nowotworów podścieliska przewodu pokarmowego (GIST) dodany został kod ICD-10 C19, który nie był uwzględniony w uprzednio obowiązującym programie lekowym B.3.</w:t>
            </w:r>
          </w:p>
        </w:tc>
      </w:tr>
      <w:tr w:rsidR="005023B3" w:rsidRPr="005F7844" w14:paraId="204220EC" w14:textId="77777777" w:rsidTr="00767F8E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4CF804" w14:textId="77777777" w:rsidR="005023B3" w:rsidRPr="00485DCA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26.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36AB3" w14:textId="77777777" w:rsidR="005023B3" w:rsidRPr="00485DCA" w:rsidRDefault="005023B3" w:rsidP="00767F8E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85DCA">
              <w:rPr>
                <w:rFonts w:ascii="Lato" w:eastAsia="Calibri" w:hAnsi="Lato" w:cstheme="majorHAnsi"/>
                <w:sz w:val="18"/>
                <w:szCs w:val="18"/>
                <w:lang w:eastAsia="en-US"/>
              </w:rPr>
              <w:t>C.91.a</w:t>
            </w:r>
            <w:r w:rsidRPr="00485DCA">
              <w:rPr>
                <w:rFonts w:ascii="Lato" w:eastAsia="Calibri" w:hAnsi="Lato" w:cstheme="majorHAnsi"/>
                <w:sz w:val="18"/>
                <w:szCs w:val="18"/>
                <w:lang w:eastAsia="en-US"/>
              </w:rPr>
              <w:br/>
              <w:t>C.91.b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1262C" w14:textId="77777777" w:rsidR="005023B3" w:rsidRPr="00485DCA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85DCA">
              <w:rPr>
                <w:rFonts w:ascii="Lato" w:hAnsi="Lato"/>
                <w:i/>
                <w:iCs/>
                <w:sz w:val="18"/>
                <w:szCs w:val="18"/>
              </w:rPr>
              <w:t>EVEROLIMUS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25B52" w14:textId="77777777" w:rsidR="005023B3" w:rsidRPr="00485DCA" w:rsidRDefault="005023B3" w:rsidP="00767F8E">
            <w:pPr>
              <w:suppressAutoHyphens w:val="0"/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sz w:val="18"/>
                <w:szCs w:val="18"/>
              </w:rPr>
              <w:t>Zmiana kategorii dostępności refundacyjnej ewerolimusu:</w:t>
            </w:r>
          </w:p>
          <w:p w14:paraId="3D464403" w14:textId="77777777" w:rsidR="005023B3" w:rsidRPr="00485DCA" w:rsidRDefault="005023B3" w:rsidP="005023B3">
            <w:pPr>
              <w:pStyle w:val="Akapitzlist"/>
              <w:numPr>
                <w:ilvl w:val="0"/>
                <w:numId w:val="33"/>
              </w:numPr>
              <w:spacing w:before="60" w:after="60" w:line="240" w:lineRule="auto"/>
              <w:ind w:left="714" w:hanging="357"/>
              <w:rPr>
                <w:rFonts w:ascii="Lato" w:hAnsi="Lato" w:cstheme="majorHAnsi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sz w:val="18"/>
                <w:szCs w:val="18"/>
              </w:rPr>
              <w:t>z programu lekowego B.10 - LECZENIE PACJENTÓW Z RAKIEM NERKI (ICD-10: C64) do katalogu chemioterapii C.91.a,</w:t>
            </w:r>
          </w:p>
          <w:p w14:paraId="4BABFE28" w14:textId="77777777" w:rsidR="005023B3" w:rsidRPr="00485DCA" w:rsidRDefault="005023B3" w:rsidP="00767F8E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85DCA">
              <w:rPr>
                <w:rFonts w:ascii="Lato" w:hAnsi="Lato" w:cstheme="majorHAnsi"/>
                <w:sz w:val="18"/>
                <w:szCs w:val="18"/>
              </w:rPr>
              <w:t>z programu lekowego B.53 - LECZENIE WYSOKO ZRÓŻNICOWANEGO NOWOTWORU NEUROENDOKRYNNEGO TRZUSTKI (ICD-10 C25.4) do katalogu chemioterapii C.91.b.</w:t>
            </w:r>
          </w:p>
        </w:tc>
      </w:tr>
    </w:tbl>
    <w:p w14:paraId="23F5AFCA" w14:textId="48D83D83" w:rsidR="00635695" w:rsidRDefault="00635695" w:rsidP="005023B3">
      <w:pPr>
        <w:suppressAutoHyphens w:val="0"/>
        <w:rPr>
          <w:rFonts w:ascii="Lato" w:hAnsi="Lato"/>
          <w:b/>
          <w:bCs/>
          <w:color w:val="00B0F0"/>
          <w:sz w:val="28"/>
          <w:szCs w:val="28"/>
        </w:rPr>
      </w:pPr>
    </w:p>
    <w:p w14:paraId="2ABCB8F6" w14:textId="77777777" w:rsidR="00635695" w:rsidRDefault="00635695">
      <w:pPr>
        <w:suppressAutoHyphens w:val="0"/>
        <w:autoSpaceDN/>
        <w:spacing w:line="259" w:lineRule="auto"/>
        <w:textAlignment w:val="auto"/>
        <w:rPr>
          <w:rFonts w:ascii="Lato" w:hAnsi="Lato"/>
          <w:b/>
          <w:bCs/>
          <w:color w:val="00B0F0"/>
          <w:sz w:val="28"/>
          <w:szCs w:val="28"/>
        </w:rPr>
      </w:pPr>
      <w:r>
        <w:rPr>
          <w:rFonts w:ascii="Lato" w:hAnsi="Lato"/>
          <w:b/>
          <w:bCs/>
          <w:color w:val="00B0F0"/>
          <w:sz w:val="28"/>
          <w:szCs w:val="28"/>
        </w:rPr>
        <w:br w:type="page"/>
      </w:r>
    </w:p>
    <w:p w14:paraId="236598C0" w14:textId="77777777" w:rsidR="005023B3" w:rsidRPr="005F7844" w:rsidRDefault="005023B3" w:rsidP="005023B3">
      <w:pPr>
        <w:jc w:val="center"/>
        <w:rPr>
          <w:rFonts w:ascii="Lato" w:hAnsi="Lato"/>
          <w:b/>
          <w:bCs/>
          <w:color w:val="00B0F0"/>
          <w:sz w:val="28"/>
          <w:szCs w:val="28"/>
        </w:rPr>
      </w:pPr>
      <w:r w:rsidRPr="005F7844">
        <w:rPr>
          <w:rFonts w:ascii="Lato" w:hAnsi="Lato"/>
          <w:b/>
          <w:bCs/>
          <w:color w:val="00B0F0"/>
          <w:sz w:val="28"/>
          <w:szCs w:val="28"/>
        </w:rPr>
        <w:lastRenderedPageBreak/>
        <w:t>NOWE WSKAZANIA ORAZ ZMIANY W REFUNDACJI APTECZNEJ</w:t>
      </w:r>
    </w:p>
    <w:tbl>
      <w:tblPr>
        <w:tblW w:w="5000" w:type="pct"/>
        <w:tblCellMar>
          <w:top w:w="57" w:type="dxa"/>
          <w:left w:w="10" w:type="dxa"/>
          <w:bottom w:w="57" w:type="dxa"/>
          <w:right w:w="10" w:type="dxa"/>
        </w:tblCellMar>
        <w:tblLook w:val="0000" w:firstRow="0" w:lastRow="0" w:firstColumn="0" w:lastColumn="0" w:noHBand="0" w:noVBand="0"/>
      </w:tblPr>
      <w:tblGrid>
        <w:gridCol w:w="691"/>
        <w:gridCol w:w="2412"/>
        <w:gridCol w:w="1838"/>
        <w:gridCol w:w="5400"/>
        <w:gridCol w:w="3649"/>
      </w:tblGrid>
      <w:tr w:rsidR="005023B3" w:rsidRPr="00466A25" w14:paraId="5543EDCD" w14:textId="77777777" w:rsidTr="00767F8E">
        <w:trPr>
          <w:trHeight w:val="549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94C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1B25A" w14:textId="77777777" w:rsidR="005023B3" w:rsidRPr="00466A25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66A25">
              <w:rPr>
                <w:rFonts w:ascii="Lato" w:hAnsi="Lato" w:cstheme="majorHAnsi"/>
                <w:b/>
                <w:bCs/>
                <w:color w:val="FFFFFF"/>
              </w:rPr>
              <w:t>Apteka</w:t>
            </w:r>
          </w:p>
        </w:tc>
      </w:tr>
      <w:tr w:rsidR="005023B3" w:rsidRPr="00466A25" w14:paraId="5F11B4C6" w14:textId="77777777" w:rsidTr="00767F8E">
        <w:trPr>
          <w:trHeight w:val="328"/>
        </w:trPr>
        <w:tc>
          <w:tcPr>
            <w:tcW w:w="5000" w:type="pct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6B9C6" w14:textId="77777777" w:rsidR="005023B3" w:rsidRPr="00466A25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66A25">
              <w:rPr>
                <w:rFonts w:ascii="Lato" w:hAnsi="Lato" w:cstheme="majorHAnsi"/>
                <w:b/>
                <w:bCs/>
                <w:color w:val="FFFFFF"/>
              </w:rPr>
              <w:t>Nowe wskazania refundacyjne</w:t>
            </w:r>
          </w:p>
        </w:tc>
      </w:tr>
      <w:tr w:rsidR="005023B3" w:rsidRPr="00466A25" w14:paraId="6A2B4920" w14:textId="77777777" w:rsidTr="00767F8E"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0F396" w14:textId="77777777" w:rsidR="005023B3" w:rsidRPr="00466A25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D8B4C" w14:textId="77777777" w:rsidR="005023B3" w:rsidRPr="00466A25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Nazwa leku, środka spożywczego specjalnego przeznaczenia lub wyrobu </w:t>
            </w:r>
            <w:r w:rsidRPr="00466A25">
              <w:rPr>
                <w:rFonts w:ascii="Lato" w:hAnsi="Lato" w:cstheme="majorHAnsi"/>
                <w:b/>
                <w:bCs/>
                <w:sz w:val="18"/>
                <w:szCs w:val="18"/>
              </w:rPr>
              <w:t>medycznego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F5B93A" w14:textId="77777777" w:rsidR="005023B3" w:rsidRPr="00466A25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Substancja czynna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FBF04" w14:textId="77777777" w:rsidR="005023B3" w:rsidRPr="00466A25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Wskazanie refundacyjne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FA0DE" w14:textId="77777777" w:rsidR="005023B3" w:rsidRPr="00466A25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Doprecyzowanie wskazania</w:t>
            </w:r>
          </w:p>
        </w:tc>
      </w:tr>
      <w:tr w:rsidR="005023B3" w:rsidRPr="00466A25" w14:paraId="4A634512" w14:textId="77777777" w:rsidTr="00767F8E"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A14C2F" w14:textId="77777777" w:rsidR="005023B3" w:rsidRPr="00466A25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F46EB4" w14:textId="77777777" w:rsidR="005023B3" w:rsidRPr="00466A25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Jorveza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7E21B" w14:textId="77777777" w:rsidR="005023B3" w:rsidRPr="00466A25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budezonid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A032C" w14:textId="77777777" w:rsidR="005023B3" w:rsidRPr="00466A25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  <w:highlight w:val="yellow"/>
              </w:rPr>
            </w:pP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>Leczenie eozynofilowego zapalenia przełyku (ang. eosinophilic esophagitis, EoE) u pacjentów uprzednio leczonych inhibitorami pompy protonowej (IPP) – leczenie indukcyjne, do 12 tygodni (warunkiem wdrożenia leczenia jest udokumentowanie wykonania badania endoskopowego z pobraniem do oceny histopatologicznej co najmniej 6 wycinków błony śluzowej z proksymalnej i dystalnej części przełyku, z potwierdzeniem EoE poprzez obecność równej lub większej od 15 liczby eozynofilii w dużym powiększeniu)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86EE6" w14:textId="77777777" w:rsidR="005023B3" w:rsidRPr="00466A25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Pierwszy lek z kortykosteroidem do stosowania doustnego o działaniu miejscowym na przewód pokarmowy wykorzystywany w leczeniu eozynofilowego zapalenia przełyku. </w:t>
            </w:r>
          </w:p>
        </w:tc>
      </w:tr>
      <w:tr w:rsidR="005023B3" w:rsidRPr="00466A25" w14:paraId="33C33636" w14:textId="77777777" w:rsidTr="00767F8E"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DA35F" w14:textId="77777777" w:rsidR="005023B3" w:rsidRPr="00466A25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15990" w14:textId="77777777" w:rsidR="005023B3" w:rsidRPr="00466A25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Neocate Syneo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5D24A" w14:textId="77777777" w:rsidR="005023B3" w:rsidRPr="00466A25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dieta eliminacyjna mlekozastępcza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126CB" w14:textId="77777777" w:rsidR="005023B3" w:rsidRPr="00466A25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670A57">
              <w:rPr>
                <w:rFonts w:ascii="Lato" w:hAnsi="Lato" w:cstheme="majorHAnsi"/>
                <w:color w:val="000000"/>
                <w:sz w:val="18"/>
                <w:szCs w:val="18"/>
              </w:rPr>
              <w:t>Postępowanie dietetyczne w ciężkiej alergii na białka mleka krowiego oraz złożonej nietolerancji białek pokarmowych u pacjentów do ukończenia 18 roku życia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F9FF48" w14:textId="77777777" w:rsidR="005023B3" w:rsidRPr="00466A25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Zabezpieczenie pacjentów pediatrycznych powyżej 1 roku życia z ciężką alergią na białka mleka krowiego.</w:t>
            </w:r>
          </w:p>
        </w:tc>
      </w:tr>
      <w:tr w:rsidR="005023B3" w:rsidRPr="00466A25" w14:paraId="47E9E47F" w14:textId="77777777" w:rsidTr="00767F8E"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39347" w14:textId="77777777" w:rsidR="005023B3" w:rsidRPr="00466A25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5E695" w14:textId="77777777" w:rsidR="005023B3" w:rsidRPr="00466A25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Ontozry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DBA928" w14:textId="77777777" w:rsidR="005023B3" w:rsidRPr="00466A25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cenobamat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56B39" w14:textId="77777777" w:rsidR="005023B3" w:rsidRPr="00466A25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>Leczenie wspomagające napadów ogniskowych ulegających albo nieulegających wtórnemu uogólnieniu u dorosłych pacjentów z padaczką z brakiem kontroli napadów lub nietolerancją leczenia po zastosowaniu co najmniej jednej próby terapii dodanej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F681C" w14:textId="77777777" w:rsidR="005023B3" w:rsidRPr="00466A25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>Pierwszy lek przeciwpadaczkowy z cenobamatem – substancją czynną o podwójnym mechanizmie działania.</w:t>
            </w:r>
          </w:p>
        </w:tc>
      </w:tr>
      <w:tr w:rsidR="005023B3" w:rsidRPr="00466A25" w14:paraId="6EE2089C" w14:textId="77777777" w:rsidTr="00767F8E"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EFAC4F" w14:textId="77777777" w:rsidR="005023B3" w:rsidRPr="00466A25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4.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23A2C" w14:textId="77777777" w:rsidR="005023B3" w:rsidRPr="00466A25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466A25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Suliqua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6EA458" w14:textId="77777777" w:rsidR="005023B3" w:rsidRPr="00466A25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  <w:highlight w:val="yellow"/>
              </w:rPr>
            </w:pPr>
            <w:r w:rsidRPr="00466A25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insulina glargine + liksysenatyd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38F45" w14:textId="77777777" w:rsidR="005023B3" w:rsidRPr="00466A25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>Cukrzyca typu 2 u pacjentów leczonych co najmniej dwoma lekami hipoglikemizującymi, z HbA1c ≥ 7,5%, z otyłością definiowaną jako BMI ≥30 kg/m2 oraz bardzo wysokim ryzykiem sercowo-naczyniowym rozumianym jako: 1)potwierdzona choroba sercowo-naczyniowa, lub 2)uszkodzenie innych narządów objawiające się poprzez: białkomocz lub przerost lewej komory lub retinopatię, lub 3)obecność 2 lub więcej głównych czynników ryzyka spośród wymienionych poniżej: -wiek ≥ 55 lat dla mężczyzn, ≥60 lat dla kobiet, -dyslipidemia, -nadciśnienie tętnicze, -palenie tytoniu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C38F6" w14:textId="77777777" w:rsidR="005023B3" w:rsidRPr="00466A25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  <w:highlight w:val="yellow"/>
              </w:rPr>
            </w:pP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>Pierwszy lek refundowany w cukrzycy stanowiący połączenie analogu GLP-1 oraz insuliny glargine.</w:t>
            </w:r>
          </w:p>
        </w:tc>
      </w:tr>
      <w:tr w:rsidR="005023B3" w:rsidRPr="00466A25" w14:paraId="103C4584" w14:textId="77777777" w:rsidTr="00767F8E"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1414E" w14:textId="77777777" w:rsidR="005023B3" w:rsidRPr="00466A25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lastRenderedPageBreak/>
              <w:t>5.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33842" w14:textId="77777777" w:rsidR="005023B3" w:rsidRPr="00466A25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87151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Ylpio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21D9B" w14:textId="77777777" w:rsidR="005023B3" w:rsidRPr="00466A25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B31D55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telmisartan + indapamid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6B726" w14:textId="77777777" w:rsidR="005023B3" w:rsidRPr="00466A25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87151D">
              <w:rPr>
                <w:rFonts w:ascii="Lato" w:hAnsi="Lato" w:cstheme="majorHAnsi"/>
                <w:color w:val="000000"/>
                <w:sz w:val="18"/>
                <w:szCs w:val="18"/>
              </w:rPr>
              <w:t>We wszystkich zarejestrowanych wskazaniach na dzień wydania decyzji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8CFFC0" w14:textId="77777777" w:rsidR="005023B3" w:rsidRPr="00466A25" w:rsidRDefault="005023B3" w:rsidP="00767F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87151D">
              <w:rPr>
                <w:rFonts w:ascii="Lato" w:hAnsi="Lato" w:cstheme="majorHAnsi"/>
                <w:color w:val="000000"/>
                <w:sz w:val="18"/>
                <w:szCs w:val="18"/>
              </w:rPr>
              <w:t>Nowe połączenie cząsteczek – objęcie refundacją w ramach grupy limitowej 45.0 Antagoniści angiotensyny II - produkty jednoskładnikowe i złożone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</w:tbl>
    <w:p w14:paraId="7343877B" w14:textId="77777777" w:rsidR="005023B3" w:rsidRDefault="005023B3" w:rsidP="005023B3">
      <w:pPr>
        <w:spacing w:line="252" w:lineRule="auto"/>
        <w:jc w:val="both"/>
        <w:textAlignment w:val="auto"/>
        <w:rPr>
          <w:rFonts w:ascii="Lato" w:hAnsi="Lato" w:cs="Calibri Light"/>
          <w:sz w:val="24"/>
          <w:szCs w:val="24"/>
        </w:rPr>
      </w:pPr>
    </w:p>
    <w:p w14:paraId="00B1722C" w14:textId="77777777" w:rsidR="005023B3" w:rsidRPr="005F7844" w:rsidRDefault="005023B3" w:rsidP="005023B3">
      <w:pPr>
        <w:spacing w:line="252" w:lineRule="auto"/>
        <w:jc w:val="both"/>
        <w:textAlignment w:val="auto"/>
        <w:rPr>
          <w:rFonts w:ascii="Lato" w:hAnsi="Lato" w:cs="Calibri Light"/>
          <w:sz w:val="24"/>
          <w:szCs w:val="24"/>
        </w:rPr>
      </w:pPr>
    </w:p>
    <w:tbl>
      <w:tblPr>
        <w:tblW w:w="5000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641"/>
        <w:gridCol w:w="1905"/>
        <w:gridCol w:w="7795"/>
        <w:gridCol w:w="3649"/>
      </w:tblGrid>
      <w:tr w:rsidR="005023B3" w:rsidRPr="005F7844" w14:paraId="69323C5D" w14:textId="77777777" w:rsidTr="00767F8E">
        <w:trPr>
          <w:cantSplit/>
          <w:trHeight w:val="20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5B875" w14:textId="77777777" w:rsidR="005023B3" w:rsidRPr="005F7844" w:rsidRDefault="005023B3" w:rsidP="00767F8E">
            <w:pPr>
              <w:spacing w:before="120" w:after="120" w:line="240" w:lineRule="auto"/>
              <w:jc w:val="center"/>
              <w:rPr>
                <w:rFonts w:ascii="Lato" w:hAnsi="Lato" w:cstheme="majorHAnsi"/>
              </w:rPr>
            </w:pPr>
            <w:r w:rsidRPr="005F7844">
              <w:rPr>
                <w:rFonts w:ascii="Lato" w:hAnsi="Lato" w:cstheme="majorHAnsi"/>
                <w:b/>
                <w:bCs/>
                <w:color w:val="FFFFFF"/>
              </w:rPr>
              <w:t>Zmiany we wskazaniach pozarejestracyjnych (off-label)</w:t>
            </w:r>
            <w:r>
              <w:rPr>
                <w:rFonts w:ascii="Lato" w:hAnsi="Lato" w:cstheme="majorHAnsi"/>
                <w:b/>
                <w:bCs/>
                <w:color w:val="FFFFFF"/>
              </w:rPr>
              <w:t xml:space="preserve"> – usunięcie wskazań</w:t>
            </w:r>
          </w:p>
        </w:tc>
      </w:tr>
      <w:tr w:rsidR="005023B3" w:rsidRPr="005F7844" w14:paraId="0164F232" w14:textId="77777777" w:rsidTr="00767F8E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2BBA6" w14:textId="77777777" w:rsidR="005023B3" w:rsidRPr="005F7844" w:rsidRDefault="005023B3" w:rsidP="00767F8E">
            <w:pPr>
              <w:spacing w:before="120" w:after="12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5F7844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6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5BB33" w14:textId="77777777" w:rsidR="005023B3" w:rsidRPr="005F7844" w:rsidRDefault="005023B3" w:rsidP="00767F8E">
            <w:pPr>
              <w:spacing w:before="120" w:after="12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5F7844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Substancja czynna</w:t>
            </w:r>
          </w:p>
        </w:tc>
        <w:tc>
          <w:tcPr>
            <w:tcW w:w="27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B82F2" w14:textId="77777777" w:rsidR="005023B3" w:rsidRPr="005F7844" w:rsidRDefault="005023B3" w:rsidP="00767F8E">
            <w:pPr>
              <w:spacing w:before="120" w:after="12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5F7844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Usunięte wskazanie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B5B94" w14:textId="77777777" w:rsidR="005023B3" w:rsidRPr="005F7844" w:rsidRDefault="005023B3" w:rsidP="00767F8E">
            <w:pPr>
              <w:spacing w:before="120" w:after="12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5F7844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Powód zmian</w:t>
            </w:r>
          </w:p>
        </w:tc>
      </w:tr>
      <w:tr w:rsidR="005023B3" w:rsidRPr="005F7844" w14:paraId="49FB304D" w14:textId="77777777" w:rsidTr="00767F8E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C08D6" w14:textId="77777777" w:rsidR="005023B3" w:rsidRPr="005F7844" w:rsidRDefault="005023B3" w:rsidP="00767F8E">
            <w:pPr>
              <w:spacing w:before="120" w:after="12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5F7844">
              <w:rPr>
                <w:rFonts w:ascii="Lato" w:hAnsi="Lato" w:cstheme="majorHAns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6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DBB4B7" w14:textId="77777777" w:rsidR="005023B3" w:rsidRPr="005F7844" w:rsidRDefault="005023B3" w:rsidP="00767F8E">
            <w:pPr>
              <w:pStyle w:val="Style2"/>
              <w:widowControl/>
              <w:spacing w:before="120" w:after="120" w:line="240" w:lineRule="auto"/>
              <w:jc w:val="center"/>
              <w:rPr>
                <w:rFonts w:ascii="Lato" w:eastAsia="Calibri" w:hAnsi="Lato" w:cstheme="majorHAnsi"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5F7844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azatiopryna</w:t>
            </w:r>
          </w:p>
        </w:tc>
        <w:tc>
          <w:tcPr>
            <w:tcW w:w="27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08D95" w14:textId="77777777" w:rsidR="005023B3" w:rsidRPr="005F7844" w:rsidRDefault="005023B3" w:rsidP="00767F8E">
            <w:pPr>
              <w:pStyle w:val="Style2"/>
              <w:widowControl/>
              <w:spacing w:before="120" w:after="120" w:line="240" w:lineRule="auto"/>
              <w:jc w:val="center"/>
              <w:rPr>
                <w:rFonts w:ascii="Lato" w:eastAsia="Calibri" w:hAnsi="Lato" w:cstheme="majorHAnsi"/>
                <w:color w:val="000000"/>
                <w:sz w:val="18"/>
                <w:szCs w:val="18"/>
                <w:lang w:eastAsia="en-US"/>
              </w:rPr>
            </w:pPr>
            <w:r w:rsidRPr="005F7844">
              <w:rPr>
                <w:rFonts w:ascii="Lato" w:eastAsia="Calibri" w:hAnsi="Lato" w:cstheme="majorHAnsi"/>
                <w:sz w:val="18"/>
                <w:szCs w:val="18"/>
                <w:lang w:eastAsia="en-US"/>
              </w:rPr>
              <w:t>sarkoidoza; śródmiąższowe zapalenie płuc - w przypadkach innych niż określone w ChPL – z wyjątkiem idiopatycznego włóknienia płuc; ziarniniakowe choroby płuc – w przypadkach innych niż określone w ChPL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47F10" w14:textId="77777777" w:rsidR="005023B3" w:rsidRPr="005F7844" w:rsidRDefault="005023B3" w:rsidP="00767F8E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5F784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Brak przedstawienia opinii przez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br/>
            </w:r>
            <w:r w:rsidRPr="005F784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Konsultanta Krajowego w dziedzinie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br/>
            </w:r>
            <w:r w:rsidRPr="005F7844">
              <w:rPr>
                <w:rFonts w:ascii="Lato" w:hAnsi="Lato" w:cstheme="majorHAnsi"/>
                <w:color w:val="000000"/>
                <w:sz w:val="18"/>
                <w:szCs w:val="18"/>
              </w:rPr>
              <w:t>chorób płuc.</w:t>
            </w:r>
          </w:p>
        </w:tc>
      </w:tr>
      <w:tr w:rsidR="005023B3" w:rsidRPr="005F7844" w14:paraId="5F9B4C7B" w14:textId="77777777" w:rsidTr="00767F8E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8C93F" w14:textId="77777777" w:rsidR="005023B3" w:rsidRPr="005F7844" w:rsidRDefault="005023B3" w:rsidP="00767F8E">
            <w:pPr>
              <w:spacing w:before="120" w:after="12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5F7844">
              <w:rPr>
                <w:rFonts w:ascii="Lato" w:hAnsi="Lato" w:cstheme="majorHAns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6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D5678" w14:textId="77777777" w:rsidR="005023B3" w:rsidRPr="005F7844" w:rsidRDefault="005023B3" w:rsidP="00767F8E">
            <w:pPr>
              <w:spacing w:before="120" w:after="12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5F7844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chlorambucyl</w:t>
            </w:r>
          </w:p>
        </w:tc>
        <w:tc>
          <w:tcPr>
            <w:tcW w:w="27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B189B" w14:textId="77777777" w:rsidR="005023B3" w:rsidRPr="005F7844" w:rsidRDefault="005023B3" w:rsidP="00767F8E">
            <w:pPr>
              <w:pStyle w:val="Style2"/>
              <w:spacing w:before="120" w:after="120" w:line="240" w:lineRule="auto"/>
              <w:jc w:val="center"/>
              <w:rPr>
                <w:rFonts w:ascii="Lato" w:eastAsia="Calibri" w:hAnsi="Lato" w:cstheme="majorHAnsi"/>
                <w:sz w:val="18"/>
                <w:szCs w:val="18"/>
                <w:lang w:eastAsia="en-US"/>
              </w:rPr>
            </w:pPr>
            <w:r w:rsidRPr="005F7844">
              <w:rPr>
                <w:rFonts w:ascii="Lato" w:eastAsia="Calibri" w:hAnsi="Lato" w:cstheme="majorHAnsi"/>
                <w:color w:val="000000"/>
                <w:sz w:val="18"/>
                <w:szCs w:val="18"/>
                <w:lang w:eastAsia="en-US"/>
              </w:rPr>
              <w:t>amyloidoza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BB213" w14:textId="77777777" w:rsidR="005023B3" w:rsidRPr="005F7844" w:rsidRDefault="005023B3" w:rsidP="00767F8E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5F7844">
              <w:rPr>
                <w:rFonts w:ascii="Lato" w:hAnsi="Lato" w:cstheme="majorHAnsi"/>
                <w:color w:val="000000"/>
                <w:sz w:val="18"/>
                <w:szCs w:val="18"/>
              </w:rPr>
              <w:t>Negatywna opinia Konsultanta Krajowego.</w:t>
            </w:r>
          </w:p>
        </w:tc>
      </w:tr>
      <w:tr w:rsidR="005023B3" w:rsidRPr="005F7844" w14:paraId="60C1A234" w14:textId="77777777" w:rsidTr="00767F8E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1F2C2" w14:textId="77777777" w:rsidR="005023B3" w:rsidRPr="005F7844" w:rsidRDefault="005023B3" w:rsidP="00767F8E">
            <w:pPr>
              <w:spacing w:before="120" w:after="12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5F7844">
              <w:rPr>
                <w:rFonts w:ascii="Lato" w:hAnsi="Lato" w:cstheme="majorHAns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6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AE1C9" w14:textId="77777777" w:rsidR="005023B3" w:rsidRPr="005F7844" w:rsidRDefault="005023B3" w:rsidP="00767F8E">
            <w:pPr>
              <w:pStyle w:val="Style2"/>
              <w:widowControl/>
              <w:spacing w:before="120" w:after="120" w:line="240" w:lineRule="auto"/>
              <w:jc w:val="center"/>
              <w:rPr>
                <w:rFonts w:ascii="Lato" w:eastAsia="Calibri" w:hAnsi="Lato" w:cstheme="majorHAnsi"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5F7844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metotreksat</w:t>
            </w:r>
            <w:r w:rsidRPr="005F7844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br/>
              <w:t>(tabletki)</w:t>
            </w:r>
          </w:p>
        </w:tc>
        <w:tc>
          <w:tcPr>
            <w:tcW w:w="27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47F50" w14:textId="77777777" w:rsidR="005023B3" w:rsidRPr="005F7844" w:rsidRDefault="005023B3" w:rsidP="00767F8E">
            <w:pPr>
              <w:pStyle w:val="Style2"/>
              <w:widowControl/>
              <w:spacing w:before="120" w:after="120" w:line="240" w:lineRule="auto"/>
              <w:jc w:val="center"/>
              <w:rPr>
                <w:rFonts w:ascii="Lato" w:eastAsia="Calibri" w:hAnsi="Lato" w:cstheme="majorHAnsi"/>
                <w:color w:val="000000"/>
                <w:sz w:val="18"/>
                <w:szCs w:val="18"/>
                <w:lang w:eastAsia="en-US"/>
              </w:rPr>
            </w:pPr>
            <w:r w:rsidRPr="005F7844">
              <w:rPr>
                <w:rFonts w:ascii="Lato" w:hAnsi="Lato" w:cstheme="majorHAnsi"/>
                <w:color w:val="000000"/>
                <w:sz w:val="18"/>
                <w:szCs w:val="18"/>
              </w:rPr>
              <w:t>sarkoidoza; ziarniniakowe choroby płuc - w przypadkach innych niż określone w ChPL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4E8BE" w14:textId="77777777" w:rsidR="005023B3" w:rsidRPr="005F7844" w:rsidRDefault="005023B3" w:rsidP="00767F8E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5F784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Brak przedstawienia opinii przez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br/>
            </w:r>
            <w:r w:rsidRPr="005F784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Konsultanta Krajowego w dziedzinie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br/>
            </w:r>
            <w:r w:rsidRPr="005F7844">
              <w:rPr>
                <w:rFonts w:ascii="Lato" w:hAnsi="Lato" w:cstheme="majorHAnsi"/>
                <w:color w:val="000000"/>
                <w:sz w:val="18"/>
                <w:szCs w:val="18"/>
              </w:rPr>
              <w:t>chorób płuc.</w:t>
            </w:r>
          </w:p>
        </w:tc>
      </w:tr>
      <w:tr w:rsidR="005023B3" w:rsidRPr="005F7844" w14:paraId="22F4A654" w14:textId="77777777" w:rsidTr="00767F8E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789548" w14:textId="77777777" w:rsidR="005023B3" w:rsidRPr="005F7844" w:rsidRDefault="005023B3" w:rsidP="00767F8E">
            <w:pPr>
              <w:spacing w:before="120" w:after="12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5F7844">
              <w:rPr>
                <w:rFonts w:ascii="Lato" w:hAnsi="Lato" w:cstheme="majorHAnsi"/>
                <w:color w:val="000000"/>
                <w:sz w:val="18"/>
                <w:szCs w:val="18"/>
              </w:rPr>
              <w:t>4.</w:t>
            </w:r>
          </w:p>
        </w:tc>
        <w:tc>
          <w:tcPr>
            <w:tcW w:w="6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3D6AD" w14:textId="77777777" w:rsidR="005023B3" w:rsidRPr="005F7844" w:rsidRDefault="005023B3" w:rsidP="00767F8E">
            <w:pPr>
              <w:pStyle w:val="Style2"/>
              <w:spacing w:before="120" w:after="120" w:line="240" w:lineRule="auto"/>
              <w:jc w:val="center"/>
              <w:rPr>
                <w:rFonts w:ascii="Lato" w:eastAsia="Calibri" w:hAnsi="Lato" w:cstheme="majorHAnsi"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5F7844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prednizolon</w:t>
            </w:r>
          </w:p>
        </w:tc>
        <w:tc>
          <w:tcPr>
            <w:tcW w:w="27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F9DDD" w14:textId="77777777" w:rsidR="005023B3" w:rsidRPr="005F7844" w:rsidRDefault="005023B3" w:rsidP="00767F8E">
            <w:pPr>
              <w:pStyle w:val="Style2"/>
              <w:spacing w:before="120" w:after="12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5F7844">
              <w:rPr>
                <w:rFonts w:ascii="Lato" w:hAnsi="Lato" w:cstheme="majorHAnsi"/>
                <w:color w:val="000000"/>
                <w:sz w:val="18"/>
                <w:szCs w:val="18"/>
              </w:rPr>
              <w:t>stan po przeszczepie nerki u dzieci do 18 roku życia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7FA29" w14:textId="77777777" w:rsidR="005023B3" w:rsidRPr="005F7844" w:rsidRDefault="005023B3" w:rsidP="00767F8E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5F7844">
              <w:rPr>
                <w:rFonts w:ascii="Lato" w:hAnsi="Lato" w:cstheme="majorHAnsi"/>
                <w:color w:val="000000"/>
                <w:sz w:val="18"/>
                <w:szCs w:val="18"/>
              </w:rPr>
              <w:t>Negatywna opinia Konsultanta Krajowego.</w:t>
            </w:r>
          </w:p>
        </w:tc>
      </w:tr>
      <w:tr w:rsidR="005023B3" w:rsidRPr="005F7844" w14:paraId="0CFB5602" w14:textId="77777777" w:rsidTr="00767F8E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9D972B" w14:textId="77777777" w:rsidR="005023B3" w:rsidRPr="005F7844" w:rsidRDefault="005023B3" w:rsidP="00767F8E">
            <w:pPr>
              <w:spacing w:before="120" w:after="12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5F7844">
              <w:rPr>
                <w:rFonts w:ascii="Lato" w:hAnsi="Lato" w:cstheme="majorHAnsi"/>
                <w:color w:val="000000"/>
                <w:sz w:val="18"/>
                <w:szCs w:val="18"/>
              </w:rPr>
              <w:t>5.</w:t>
            </w:r>
          </w:p>
        </w:tc>
        <w:tc>
          <w:tcPr>
            <w:tcW w:w="6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D1E5F" w14:textId="77777777" w:rsidR="005023B3" w:rsidRPr="005F7844" w:rsidRDefault="005023B3" w:rsidP="00767F8E">
            <w:pPr>
              <w:pStyle w:val="Style2"/>
              <w:spacing w:before="120" w:after="12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5F7844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takrolimus</w:t>
            </w:r>
          </w:p>
        </w:tc>
        <w:tc>
          <w:tcPr>
            <w:tcW w:w="27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2DC81" w14:textId="77777777" w:rsidR="005023B3" w:rsidRPr="005F7844" w:rsidRDefault="005023B3" w:rsidP="00767F8E">
            <w:pPr>
              <w:pStyle w:val="Style2"/>
              <w:spacing w:before="120" w:after="12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5F784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idiopatyczny zespół nerczycowy - w przypadku nietolerancji cyklosporyny lub oporności na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br/>
            </w:r>
            <w:r w:rsidRPr="005F7844">
              <w:rPr>
                <w:rFonts w:ascii="Lato" w:hAnsi="Lato" w:cstheme="majorHAnsi"/>
                <w:color w:val="000000"/>
                <w:sz w:val="18"/>
                <w:szCs w:val="18"/>
              </w:rPr>
              <w:t>cyklosporynę; toczniowe zapalenie nerek - w przypadku nietolerancji cyklosporyny lub oporności na cyklosporynę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23155" w14:textId="77777777" w:rsidR="005023B3" w:rsidRPr="005F7844" w:rsidRDefault="005023B3" w:rsidP="00767F8E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5F7844">
              <w:rPr>
                <w:rFonts w:ascii="Lato" w:hAnsi="Lato" w:cstheme="majorHAnsi"/>
                <w:color w:val="000000"/>
                <w:sz w:val="18"/>
                <w:szCs w:val="18"/>
              </w:rPr>
              <w:t>Negatywna opinia Konsultanta Krajowego.</w:t>
            </w:r>
          </w:p>
        </w:tc>
      </w:tr>
    </w:tbl>
    <w:p w14:paraId="461EA2FC" w14:textId="77777777" w:rsidR="00F31A50" w:rsidRPr="00F30E39" w:rsidRDefault="009D2617">
      <w:pPr>
        <w:rPr>
          <w:rFonts w:ascii="Lato" w:hAnsi="Lato"/>
        </w:rPr>
      </w:pPr>
    </w:p>
    <w:sectPr w:rsidR="00F31A50" w:rsidRPr="00F30E39" w:rsidSect="005023B3">
      <w:headerReference w:type="first" r:id="rId13"/>
      <w:pgSz w:w="16840" w:h="11907" w:orient="landscape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CB87E" w14:textId="77777777" w:rsidR="00833BB4" w:rsidRDefault="00833BB4" w:rsidP="005023B3">
      <w:pPr>
        <w:spacing w:after="0" w:line="240" w:lineRule="auto"/>
      </w:pPr>
      <w:r>
        <w:separator/>
      </w:r>
    </w:p>
  </w:endnote>
  <w:endnote w:type="continuationSeparator" w:id="0">
    <w:p w14:paraId="5482FEEE" w14:textId="77777777" w:rsidR="00833BB4" w:rsidRDefault="00833BB4" w:rsidP="00502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01CB9" w14:textId="77777777" w:rsidR="00833BB4" w:rsidRDefault="00833BB4" w:rsidP="005023B3">
      <w:pPr>
        <w:spacing w:after="0" w:line="240" w:lineRule="auto"/>
      </w:pPr>
      <w:r>
        <w:separator/>
      </w:r>
    </w:p>
  </w:footnote>
  <w:footnote w:type="continuationSeparator" w:id="0">
    <w:p w14:paraId="0F9A3D0B" w14:textId="77777777" w:rsidR="00833BB4" w:rsidRDefault="00833BB4" w:rsidP="00502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21066" w14:textId="595B4160" w:rsidR="005023B3" w:rsidRDefault="005023B3">
    <w:pPr>
      <w:pStyle w:val="Nagwek"/>
    </w:pPr>
    <w:bookmarkStart w:id="2" w:name="_Hlk74147372"/>
    <w:bookmarkEnd w:id="2"/>
    <w:r>
      <w:rPr>
        <w:noProof/>
        <w:lang w:eastAsia="pl-PL"/>
      </w:rPr>
      <w:drawing>
        <wp:inline distT="0" distB="0" distL="0" distR="0" wp14:anchorId="1CE7F7FD" wp14:editId="0A215EE9">
          <wp:extent cx="2381885" cy="1061720"/>
          <wp:effectExtent l="0" t="0" r="0" b="0"/>
          <wp:docPr id="24" name="Obraz 24" descr="Obraz zawierający symbol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Obraz 24" descr="Obraz zawierający symbol, desig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8188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163CA"/>
    <w:multiLevelType w:val="hybridMultilevel"/>
    <w:tmpl w:val="0DE0BC64"/>
    <w:lvl w:ilvl="0" w:tplc="CEC4EFEE">
      <w:start w:val="1"/>
      <w:numFmt w:val="bullet"/>
      <w:lvlText w:val="•"/>
      <w:lvlJc w:val="left"/>
      <w:pPr>
        <w:ind w:left="1049" w:firstLine="227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" w15:restartNumberingAfterBreak="0">
    <w:nsid w:val="0D2743CD"/>
    <w:multiLevelType w:val="hybridMultilevel"/>
    <w:tmpl w:val="C2FA7544"/>
    <w:lvl w:ilvl="0" w:tplc="04150001">
      <w:start w:val="1"/>
      <w:numFmt w:val="bullet"/>
      <w:lvlText w:val=""/>
      <w:lvlJc w:val="left"/>
      <w:pPr>
        <w:ind w:left="-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47" w:hanging="360"/>
      </w:pPr>
      <w:rPr>
        <w:rFonts w:ascii="Wingdings" w:hAnsi="Wingdings" w:hint="default"/>
      </w:rPr>
    </w:lvl>
  </w:abstractNum>
  <w:abstractNum w:abstractNumId="2" w15:restartNumberingAfterBreak="0">
    <w:nsid w:val="0D4553D4"/>
    <w:multiLevelType w:val="hybridMultilevel"/>
    <w:tmpl w:val="414EAA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FE0EDD"/>
    <w:multiLevelType w:val="hybridMultilevel"/>
    <w:tmpl w:val="AD006D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F2875"/>
    <w:multiLevelType w:val="hybridMultilevel"/>
    <w:tmpl w:val="1EC49BCA"/>
    <w:lvl w:ilvl="0" w:tplc="5A3E6A7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83431"/>
    <w:multiLevelType w:val="hybridMultilevel"/>
    <w:tmpl w:val="ABB6E3FC"/>
    <w:lvl w:ilvl="0" w:tplc="FC0269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A42910"/>
    <w:multiLevelType w:val="hybridMultilevel"/>
    <w:tmpl w:val="10004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757CAC"/>
    <w:multiLevelType w:val="multilevel"/>
    <w:tmpl w:val="0A84EA68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  <w:b w:val="0"/>
        <w:bCs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8" w15:restartNumberingAfterBreak="0">
    <w:nsid w:val="1E346ADB"/>
    <w:multiLevelType w:val="multilevel"/>
    <w:tmpl w:val="887C7392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9" w15:restartNumberingAfterBreak="0">
    <w:nsid w:val="21DA6EA0"/>
    <w:multiLevelType w:val="multilevel"/>
    <w:tmpl w:val="CEDA0004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  <w:b w:val="0"/>
        <w:bCs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10" w15:restartNumberingAfterBreak="0">
    <w:nsid w:val="2BF91E53"/>
    <w:multiLevelType w:val="hybridMultilevel"/>
    <w:tmpl w:val="E0781596"/>
    <w:lvl w:ilvl="0" w:tplc="FC0269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4F3043"/>
    <w:multiLevelType w:val="hybridMultilevel"/>
    <w:tmpl w:val="7F041AF0"/>
    <w:lvl w:ilvl="0" w:tplc="07E64A30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0" w:hanging="360"/>
      </w:pPr>
    </w:lvl>
    <w:lvl w:ilvl="2" w:tplc="0415001B" w:tentative="1">
      <w:start w:val="1"/>
      <w:numFmt w:val="lowerRoman"/>
      <w:lvlText w:val="%3."/>
      <w:lvlJc w:val="right"/>
      <w:pPr>
        <w:ind w:left="1850" w:hanging="180"/>
      </w:pPr>
    </w:lvl>
    <w:lvl w:ilvl="3" w:tplc="0415000F" w:tentative="1">
      <w:start w:val="1"/>
      <w:numFmt w:val="decimal"/>
      <w:lvlText w:val="%4."/>
      <w:lvlJc w:val="left"/>
      <w:pPr>
        <w:ind w:left="2570" w:hanging="360"/>
      </w:pPr>
    </w:lvl>
    <w:lvl w:ilvl="4" w:tplc="04150019" w:tentative="1">
      <w:start w:val="1"/>
      <w:numFmt w:val="lowerLetter"/>
      <w:lvlText w:val="%5."/>
      <w:lvlJc w:val="left"/>
      <w:pPr>
        <w:ind w:left="3290" w:hanging="360"/>
      </w:pPr>
    </w:lvl>
    <w:lvl w:ilvl="5" w:tplc="0415001B" w:tentative="1">
      <w:start w:val="1"/>
      <w:numFmt w:val="lowerRoman"/>
      <w:lvlText w:val="%6."/>
      <w:lvlJc w:val="right"/>
      <w:pPr>
        <w:ind w:left="4010" w:hanging="180"/>
      </w:pPr>
    </w:lvl>
    <w:lvl w:ilvl="6" w:tplc="0415000F" w:tentative="1">
      <w:start w:val="1"/>
      <w:numFmt w:val="decimal"/>
      <w:lvlText w:val="%7."/>
      <w:lvlJc w:val="left"/>
      <w:pPr>
        <w:ind w:left="4730" w:hanging="360"/>
      </w:pPr>
    </w:lvl>
    <w:lvl w:ilvl="7" w:tplc="04150019" w:tentative="1">
      <w:start w:val="1"/>
      <w:numFmt w:val="lowerLetter"/>
      <w:lvlText w:val="%8."/>
      <w:lvlJc w:val="left"/>
      <w:pPr>
        <w:ind w:left="5450" w:hanging="360"/>
      </w:pPr>
    </w:lvl>
    <w:lvl w:ilvl="8" w:tplc="0415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2" w15:restartNumberingAfterBreak="0">
    <w:nsid w:val="393F60CD"/>
    <w:multiLevelType w:val="hybridMultilevel"/>
    <w:tmpl w:val="75800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CE0B82"/>
    <w:multiLevelType w:val="hybridMultilevel"/>
    <w:tmpl w:val="386CFB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3C6885"/>
    <w:multiLevelType w:val="hybridMultilevel"/>
    <w:tmpl w:val="0B8ECA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340582"/>
    <w:multiLevelType w:val="hybridMultilevel"/>
    <w:tmpl w:val="19703E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1076C3"/>
    <w:multiLevelType w:val="hybridMultilevel"/>
    <w:tmpl w:val="ED3224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5F6E8B"/>
    <w:multiLevelType w:val="multilevel"/>
    <w:tmpl w:val="C32AD0A0"/>
    <w:lvl w:ilvl="0">
      <w:start w:val="1"/>
      <w:numFmt w:val="decimal"/>
      <w:suff w:val="space"/>
      <w:lvlText w:val="%1."/>
      <w:lvlJc w:val="left"/>
      <w:pPr>
        <w:ind w:left="227" w:hanging="227"/>
      </w:pPr>
      <w:rPr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b w:val="0"/>
        <w:bCs/>
        <w:strike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</w:lvl>
    <w:lvl w:ilvl="7">
      <w:start w:val="1"/>
      <w:numFmt w:val="decimal"/>
      <w:lvlText w:val="%1.%2.%3.%4.%5.%6.%7.%8."/>
      <w:lvlJc w:val="left"/>
      <w:pPr>
        <w:ind w:left="3950" w:hanging="1224"/>
      </w:pPr>
    </w:lvl>
    <w:lvl w:ilvl="8">
      <w:start w:val="1"/>
      <w:numFmt w:val="decimal"/>
      <w:lvlText w:val="%1.%2.%3.%4.%5.%6.%7.%8.%9."/>
      <w:lvlJc w:val="left"/>
      <w:pPr>
        <w:ind w:left="4526" w:hanging="1440"/>
      </w:pPr>
    </w:lvl>
  </w:abstractNum>
  <w:abstractNum w:abstractNumId="18" w15:restartNumberingAfterBreak="0">
    <w:nsid w:val="4EBA728E"/>
    <w:multiLevelType w:val="hybridMultilevel"/>
    <w:tmpl w:val="1748AC5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EF66E36"/>
    <w:multiLevelType w:val="hybridMultilevel"/>
    <w:tmpl w:val="B5C4A1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72792B"/>
    <w:multiLevelType w:val="hybridMultilevel"/>
    <w:tmpl w:val="75AA86A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0B57A3B"/>
    <w:multiLevelType w:val="hybridMultilevel"/>
    <w:tmpl w:val="07C0BF30"/>
    <w:lvl w:ilvl="0" w:tplc="1D247898">
      <w:start w:val="1"/>
      <w:numFmt w:val="bullet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FF5C7F"/>
    <w:multiLevelType w:val="hybridMultilevel"/>
    <w:tmpl w:val="5AF279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3F0D0B"/>
    <w:multiLevelType w:val="hybridMultilevel"/>
    <w:tmpl w:val="3A2E6C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594C8D"/>
    <w:multiLevelType w:val="hybridMultilevel"/>
    <w:tmpl w:val="10004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702886"/>
    <w:multiLevelType w:val="hybridMultilevel"/>
    <w:tmpl w:val="03E48064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6" w15:restartNumberingAfterBreak="0">
    <w:nsid w:val="6DA22F53"/>
    <w:multiLevelType w:val="hybridMultilevel"/>
    <w:tmpl w:val="75B634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08637A"/>
    <w:multiLevelType w:val="hybridMultilevel"/>
    <w:tmpl w:val="35E60092"/>
    <w:lvl w:ilvl="0" w:tplc="CE6EF1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12AB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A1AD8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DAD0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EA7C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BC0E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2A86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8667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9E94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6C1196"/>
    <w:multiLevelType w:val="hybridMultilevel"/>
    <w:tmpl w:val="CCC415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877EC9"/>
    <w:multiLevelType w:val="hybridMultilevel"/>
    <w:tmpl w:val="7494F4D8"/>
    <w:lvl w:ilvl="0" w:tplc="042C45CE">
      <w:start w:val="1"/>
      <w:numFmt w:val="bullet"/>
      <w:lvlText w:val=""/>
      <w:lvlJc w:val="left"/>
      <w:pPr>
        <w:ind w:left="720" w:firstLine="41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D324C5B"/>
    <w:multiLevelType w:val="hybridMultilevel"/>
    <w:tmpl w:val="01F6A7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DF5DFF"/>
    <w:multiLevelType w:val="hybridMultilevel"/>
    <w:tmpl w:val="A524F6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5698630">
    <w:abstractNumId w:val="6"/>
  </w:num>
  <w:num w:numId="2" w16cid:durableId="1914123445">
    <w:abstractNumId w:val="4"/>
  </w:num>
  <w:num w:numId="3" w16cid:durableId="1028138023">
    <w:abstractNumId w:val="7"/>
  </w:num>
  <w:num w:numId="4" w16cid:durableId="19192415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19660530">
    <w:abstractNumId w:val="24"/>
  </w:num>
  <w:num w:numId="6" w16cid:durableId="361247031">
    <w:abstractNumId w:val="5"/>
  </w:num>
  <w:num w:numId="7" w16cid:durableId="1517159504">
    <w:abstractNumId w:val="10"/>
  </w:num>
  <w:num w:numId="8" w16cid:durableId="810516340">
    <w:abstractNumId w:val="11"/>
  </w:num>
  <w:num w:numId="9" w16cid:durableId="1475608739">
    <w:abstractNumId w:val="22"/>
  </w:num>
  <w:num w:numId="10" w16cid:durableId="410858395">
    <w:abstractNumId w:val="1"/>
  </w:num>
  <w:num w:numId="11" w16cid:durableId="50813087">
    <w:abstractNumId w:val="30"/>
  </w:num>
  <w:num w:numId="12" w16cid:durableId="222063204">
    <w:abstractNumId w:val="3"/>
  </w:num>
  <w:num w:numId="13" w16cid:durableId="1163199498">
    <w:abstractNumId w:val="12"/>
  </w:num>
  <w:num w:numId="14" w16cid:durableId="644622116">
    <w:abstractNumId w:val="14"/>
  </w:num>
  <w:num w:numId="15" w16cid:durableId="1332293973">
    <w:abstractNumId w:val="13"/>
  </w:num>
  <w:num w:numId="16" w16cid:durableId="897936310">
    <w:abstractNumId w:val="23"/>
  </w:num>
  <w:num w:numId="17" w16cid:durableId="1839492318">
    <w:abstractNumId w:val="17"/>
  </w:num>
  <w:num w:numId="18" w16cid:durableId="1591818528">
    <w:abstractNumId w:val="8"/>
  </w:num>
  <w:num w:numId="19" w16cid:durableId="819032288">
    <w:abstractNumId w:val="0"/>
  </w:num>
  <w:num w:numId="20" w16cid:durableId="211356172">
    <w:abstractNumId w:val="20"/>
  </w:num>
  <w:num w:numId="21" w16cid:durableId="370425121">
    <w:abstractNumId w:val="18"/>
  </w:num>
  <w:num w:numId="22" w16cid:durableId="1343432427">
    <w:abstractNumId w:val="15"/>
  </w:num>
  <w:num w:numId="23" w16cid:durableId="1287813340">
    <w:abstractNumId w:val="9"/>
  </w:num>
  <w:num w:numId="24" w16cid:durableId="1403992770">
    <w:abstractNumId w:val="26"/>
  </w:num>
  <w:num w:numId="25" w16cid:durableId="1596206950">
    <w:abstractNumId w:val="31"/>
  </w:num>
  <w:num w:numId="26" w16cid:durableId="665478435">
    <w:abstractNumId w:val="28"/>
  </w:num>
  <w:num w:numId="27" w16cid:durableId="798769733">
    <w:abstractNumId w:val="21"/>
  </w:num>
  <w:num w:numId="28" w16cid:durableId="522864952">
    <w:abstractNumId w:val="25"/>
  </w:num>
  <w:num w:numId="29" w16cid:durableId="875124254">
    <w:abstractNumId w:val="2"/>
  </w:num>
  <w:num w:numId="30" w16cid:durableId="2125343580">
    <w:abstractNumId w:val="27"/>
  </w:num>
  <w:num w:numId="31" w16cid:durableId="550775641">
    <w:abstractNumId w:val="16"/>
  </w:num>
  <w:num w:numId="32" w16cid:durableId="137175846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548645807">
    <w:abstractNumId w:val="19"/>
  </w:num>
  <w:num w:numId="34" w16cid:durableId="441120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982"/>
    <w:rsid w:val="001D123D"/>
    <w:rsid w:val="00364AEC"/>
    <w:rsid w:val="004810D8"/>
    <w:rsid w:val="004A2DD1"/>
    <w:rsid w:val="004D291F"/>
    <w:rsid w:val="004F1E1B"/>
    <w:rsid w:val="005023B3"/>
    <w:rsid w:val="005726E3"/>
    <w:rsid w:val="005F0982"/>
    <w:rsid w:val="00616359"/>
    <w:rsid w:val="00635695"/>
    <w:rsid w:val="006569C0"/>
    <w:rsid w:val="00686387"/>
    <w:rsid w:val="00793D7C"/>
    <w:rsid w:val="00802A0D"/>
    <w:rsid w:val="00826C22"/>
    <w:rsid w:val="00833BB4"/>
    <w:rsid w:val="00933991"/>
    <w:rsid w:val="00933AE0"/>
    <w:rsid w:val="009A284C"/>
    <w:rsid w:val="009C448D"/>
    <w:rsid w:val="009D2617"/>
    <w:rsid w:val="00A91765"/>
    <w:rsid w:val="00AA5E03"/>
    <w:rsid w:val="00D27173"/>
    <w:rsid w:val="00E369DD"/>
    <w:rsid w:val="00E454A4"/>
    <w:rsid w:val="00F3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FF940C"/>
  <w15:chartTrackingRefBased/>
  <w15:docId w15:val="{C501DE98-6DF7-463E-ABA3-C47C951F0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23B3"/>
    <w:pPr>
      <w:suppressAutoHyphens/>
      <w:autoSpaceDN w:val="0"/>
      <w:spacing w:line="254" w:lineRule="auto"/>
      <w:textAlignment w:val="baseline"/>
    </w:pPr>
    <w:rPr>
      <w:rFonts w:ascii="Calibri" w:eastAsia="Calibri" w:hAnsi="Calibri" w:cs="Times New Roman"/>
      <w:kern w:val="0"/>
      <w14:ligatures w14:val="none"/>
    </w:rPr>
  </w:style>
  <w:style w:type="paragraph" w:styleId="Nagwek2">
    <w:name w:val="heading 2"/>
    <w:basedOn w:val="Normalny"/>
    <w:link w:val="Nagwek2Znak"/>
    <w:uiPriority w:val="9"/>
    <w:qFormat/>
    <w:rsid w:val="005023B3"/>
    <w:pPr>
      <w:suppressAutoHyphens w:val="0"/>
      <w:autoSpaceDN/>
      <w:spacing w:before="100" w:beforeAutospacing="1" w:after="100" w:afterAutospacing="1" w:line="240" w:lineRule="auto"/>
      <w:textAlignment w:val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5023B3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paragraph" w:styleId="Akapitzlist">
    <w:name w:val="List Paragraph"/>
    <w:aliases w:val="Bullet1,Styl moj,aotm_załączniki,Akapit z listą11,Table Legend,Dot pt,F5 List Paragraph,List Paragraph1,No Spacing1,List Paragraph Char Char Char,Indicator Text,Colorful List - Accent 11,Numbered Para 1,Bullet 1,Bullet Points,MAIN CONTENT"/>
    <w:basedOn w:val="Normalny"/>
    <w:link w:val="AkapitzlistZnak"/>
    <w:uiPriority w:val="34"/>
    <w:qFormat/>
    <w:rsid w:val="005023B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023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23B3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023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23B3"/>
    <w:rPr>
      <w:rFonts w:ascii="Calibri" w:eastAsia="Calibri" w:hAnsi="Calibri" w:cs="Times New Roman"/>
      <w:kern w:val="0"/>
      <w14:ligatures w14:val="none"/>
    </w:rPr>
  </w:style>
  <w:style w:type="paragraph" w:customStyle="1" w:styleId="Style2">
    <w:name w:val="Style2"/>
    <w:basedOn w:val="Normalny"/>
    <w:uiPriority w:val="99"/>
    <w:rsid w:val="005023B3"/>
    <w:pPr>
      <w:widowControl w:val="0"/>
      <w:suppressAutoHyphens w:val="0"/>
      <w:autoSpaceDE w:val="0"/>
      <w:adjustRightInd w:val="0"/>
      <w:spacing w:after="0" w:line="331" w:lineRule="exact"/>
      <w:jc w:val="both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9">
    <w:name w:val="Font Style19"/>
    <w:basedOn w:val="Domylnaczcionkaakapitu"/>
    <w:uiPriority w:val="99"/>
    <w:rsid w:val="005023B3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20">
    <w:name w:val="Font Style20"/>
    <w:basedOn w:val="Domylnaczcionkaakapitu"/>
    <w:uiPriority w:val="99"/>
    <w:rsid w:val="005023B3"/>
    <w:rPr>
      <w:rFonts w:ascii="Times New Roman" w:hAnsi="Times New Roman" w:cs="Times New Roman"/>
      <w:b/>
      <w:bCs/>
      <w:color w:val="000000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5023B3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Theme="minorEastAsia" w:hAnsi="Times New Roman"/>
      <w:sz w:val="24"/>
      <w:szCs w:val="24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23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023B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023B3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23B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23B3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character" w:customStyle="1" w:styleId="AkapitzlistZnak">
    <w:name w:val="Akapit z listą Znak"/>
    <w:aliases w:val="Bullet1 Znak,Styl moj Znak,aotm_załączniki Znak,Akapit z listą11 Znak,Table Legend Znak,Dot pt Znak,F5 List Paragraph Znak,List Paragraph1 Znak,No Spacing1 Znak,List Paragraph Char Char Char Znak,Indicator Text Znak,Bullet 1 Znak"/>
    <w:basedOn w:val="Domylnaczcionkaakapitu"/>
    <w:link w:val="Akapitzlist"/>
    <w:uiPriority w:val="34"/>
    <w:qFormat/>
    <w:rsid w:val="005023B3"/>
    <w:rPr>
      <w:rFonts w:ascii="Calibri" w:eastAsia="Calibri" w:hAnsi="Calibri" w:cs="Times New Roman"/>
      <w:kern w:val="0"/>
      <w14:ligatures w14:val="none"/>
    </w:rPr>
  </w:style>
  <w:style w:type="paragraph" w:styleId="Poprawka">
    <w:name w:val="Revision"/>
    <w:hidden/>
    <w:uiPriority w:val="99"/>
    <w:semiHidden/>
    <w:rsid w:val="005023B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pismamz">
    <w:name w:val="pisma_mz"/>
    <w:basedOn w:val="Normalny"/>
    <w:link w:val="pismamzZnak"/>
    <w:qFormat/>
    <w:rsid w:val="005023B3"/>
    <w:pPr>
      <w:suppressAutoHyphens w:val="0"/>
      <w:autoSpaceDN/>
      <w:spacing w:after="0" w:line="360" w:lineRule="auto"/>
      <w:contextualSpacing/>
      <w:jc w:val="both"/>
      <w:textAlignment w:val="auto"/>
    </w:pPr>
    <w:rPr>
      <w:rFonts w:ascii="Lato" w:hAnsi="Lato"/>
    </w:rPr>
  </w:style>
  <w:style w:type="character" w:customStyle="1" w:styleId="pismamzZnak">
    <w:name w:val="pisma_mz Znak"/>
    <w:link w:val="pismamz"/>
    <w:rsid w:val="005023B3"/>
    <w:rPr>
      <w:rFonts w:ascii="Lato" w:eastAsia="Calibri" w:hAnsi="Lato" w:cs="Times New Roman"/>
      <w:kern w:val="0"/>
      <w14:ligatures w14:val="none"/>
    </w:rPr>
  </w:style>
  <w:style w:type="character" w:customStyle="1" w:styleId="ui-provider">
    <w:name w:val="ui-provider"/>
    <w:basedOn w:val="Domylnaczcionkaakapitu"/>
    <w:rsid w:val="005023B3"/>
  </w:style>
  <w:style w:type="character" w:customStyle="1" w:styleId="cf01">
    <w:name w:val="cf01"/>
    <w:basedOn w:val="Domylnaczcionkaakapitu"/>
    <w:rsid w:val="005023B3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maj%202023%20Wykresy%20wskazania%20od%202012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maj%202023%20Wykresy%20wskazania%20od%202012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800" b="1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r>
              <a:rPr lang="pl-PL" sz="800" b="1" i="0" baseline="0">
                <a:solidFill>
                  <a:sysClr val="windowText" lastClr="000000"/>
                </a:solidFill>
                <a:effectLst/>
                <a:latin typeface="Lato" panose="020F0502020204030203" pitchFamily="34" charset="-18"/>
              </a:rPr>
              <a:t>Liczba nowych cząsteczko-wskazań - ONKO/NIEONKO</a:t>
            </a:r>
            <a:endParaRPr lang="pl-PL" sz="800">
              <a:solidFill>
                <a:sysClr val="windowText" lastClr="000000"/>
              </a:solidFill>
              <a:effectLst/>
              <a:latin typeface="Lato" panose="020F0502020204030203" pitchFamily="34" charset="-18"/>
            </a:endParaRPr>
          </a:p>
        </c:rich>
      </c:tx>
      <c:layout>
        <c:manualLayout>
          <c:xMode val="edge"/>
          <c:yMode val="edge"/>
          <c:x val="0.19473640298273975"/>
          <c:y val="9.9600906051127164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800" b="1" i="0" u="none" strike="noStrike" kern="120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7.7692038495188118E-2"/>
          <c:y val="0.13625000000000001"/>
          <c:w val="0.90286351706036749"/>
          <c:h val="0.6812974391714550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ONKO_NIEONKO!$A$3</c:f>
              <c:strCache>
                <c:ptCount val="1"/>
                <c:pt idx="0">
                  <c:v>Wskazania onkologiczne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Lato" panose="020F0502020204030203" pitchFamily="34" charset="-18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ONKO_NIEONKO!$B$2</c:f>
              <c:strCache>
                <c:ptCount val="1"/>
                <c:pt idx="0">
                  <c:v>2023 
(stan na maj)</c:v>
                </c:pt>
              </c:strCache>
              <c:extLst/>
            </c:strRef>
          </c:cat>
          <c:val>
            <c:numRef>
              <c:f>ONKO_NIEONKO!$B$3</c:f>
              <c:numCache>
                <c:formatCode>General</c:formatCode>
                <c:ptCount val="1"/>
                <c:pt idx="0">
                  <c:v>39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0906-4D6A-8995-F78AE8408917}"/>
            </c:ext>
          </c:extLst>
        </c:ser>
        <c:ser>
          <c:idx val="1"/>
          <c:order val="1"/>
          <c:tx>
            <c:strRef>
              <c:f>ONKO_NIEONKO!$A$4</c:f>
              <c:strCache>
                <c:ptCount val="1"/>
                <c:pt idx="0">
                  <c:v>Wskazania nieonkologiczne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satMod val="103000"/>
                    <a:lumMod val="102000"/>
                    <a:tint val="94000"/>
                  </a:schemeClr>
                </a:gs>
                <a:gs pos="50000">
                  <a:schemeClr val="accent5">
                    <a:satMod val="110000"/>
                    <a:lumMod val="100000"/>
                    <a:shade val="100000"/>
                  </a:schemeClr>
                </a:gs>
                <a:gs pos="100000">
                  <a:schemeClr val="accent5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Lato" panose="020F0502020204030203" pitchFamily="34" charset="-18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ONKO_NIEONKO!$B$2</c:f>
              <c:strCache>
                <c:ptCount val="1"/>
                <c:pt idx="0">
                  <c:v>2023 
(stan na maj)</c:v>
                </c:pt>
              </c:strCache>
              <c:extLst/>
            </c:strRef>
          </c:cat>
          <c:val>
            <c:numRef>
              <c:f>ONKO_NIEONKO!$B$4</c:f>
              <c:numCache>
                <c:formatCode>General</c:formatCode>
                <c:ptCount val="1"/>
                <c:pt idx="0">
                  <c:v>19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1-0906-4D6A-8995-F78AE840891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300"/>
        <c:axId val="703835919"/>
        <c:axId val="703834671"/>
      </c:barChart>
      <c:catAx>
        <c:axId val="7038359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03834671"/>
        <c:crosses val="autoZero"/>
        <c:auto val="1"/>
        <c:lblAlgn val="ctr"/>
        <c:lblOffset val="100"/>
        <c:noMultiLvlLbl val="0"/>
      </c:catAx>
      <c:valAx>
        <c:axId val="7038346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038359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000008439459537E-2"/>
          <c:y val="0.92852699155848761"/>
          <c:w val="0.89999983121080929"/>
          <c:h val="7.079423291266673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r>
              <a:rPr lang="pl-PL" sz="800" b="1" i="0" baseline="0">
                <a:solidFill>
                  <a:sysClr val="windowText" lastClr="000000"/>
                </a:solidFill>
                <a:effectLst/>
                <a:latin typeface="Lato" panose="020F0502020204030203" pitchFamily="34" charset="-18"/>
              </a:rPr>
              <a:t>Liczba nowych cząsteczkowskazań - kategorie dostępności</a:t>
            </a:r>
            <a:endParaRPr lang="pl-PL" sz="800">
              <a:solidFill>
                <a:sysClr val="windowText" lastClr="000000"/>
              </a:solidFill>
              <a:effectLst/>
              <a:latin typeface="Lato" panose="020F0502020204030203" pitchFamily="34" charset="-18"/>
            </a:endParaRPr>
          </a:p>
        </c:rich>
      </c:tx>
      <c:layout>
        <c:manualLayout>
          <c:xMode val="edge"/>
          <c:yMode val="edge"/>
          <c:x val="0.15450362292532435"/>
          <c:y val="1.326259946949602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kern="120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6.589452607083908E-2"/>
          <c:y val="0.14957494407158836"/>
          <c:w val="0.90386492410098218"/>
          <c:h val="0.6623111205059099"/>
        </c:manualLayout>
      </c:layout>
      <c:barChart>
        <c:barDir val="col"/>
        <c:grouping val="clustered"/>
        <c:varyColors val="0"/>
        <c:ser>
          <c:idx val="2"/>
          <c:order val="0"/>
          <c:tx>
            <c:strRef>
              <c:f>'Kategoria dostępności'!$A$5</c:f>
              <c:strCache>
                <c:ptCount val="1"/>
                <c:pt idx="0">
                  <c:v>Program lekowy</c:v>
                </c:pt>
              </c:strCache>
            </c:strRef>
          </c:tx>
          <c:spPr>
            <a:solidFill>
              <a:srgbClr val="76AC4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Lato" panose="020F0502020204030203" pitchFamily="34" charset="-18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'Kategoria dostępności'!$B$2</c:f>
              <c:strCache>
                <c:ptCount val="1"/>
                <c:pt idx="0">
                  <c:v>2023 
(stan na maj)</c:v>
                </c:pt>
              </c:strCache>
              <c:extLst/>
            </c:strRef>
          </c:cat>
          <c:val>
            <c:numRef>
              <c:f>'Kategoria dostępności'!$B$5</c:f>
              <c:numCache>
                <c:formatCode>General</c:formatCode>
                <c:ptCount val="1"/>
                <c:pt idx="0">
                  <c:v>42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D487-4900-BA71-8D4D9D8B41A9}"/>
            </c:ext>
          </c:extLst>
        </c:ser>
        <c:ser>
          <c:idx val="0"/>
          <c:order val="1"/>
          <c:tx>
            <c:strRef>
              <c:f>'Kategoria dostępności'!$A$3</c:f>
              <c:strCache>
                <c:ptCount val="1"/>
                <c:pt idx="0">
                  <c:v>Apteka</c:v>
                </c:pt>
              </c:strCache>
            </c:strRef>
          </c:tx>
          <c:spPr>
            <a:solidFill>
              <a:srgbClr val="FBE74F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FFD94F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D487-4900-BA71-8D4D9D8B41A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Lato" panose="020F0502020204030203" pitchFamily="34" charset="-18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'Kategoria dostępności'!$B$2</c:f>
              <c:strCache>
                <c:ptCount val="1"/>
                <c:pt idx="0">
                  <c:v>2023 
(stan na maj)</c:v>
                </c:pt>
              </c:strCache>
              <c:extLst/>
            </c:strRef>
          </c:cat>
          <c:val>
            <c:numRef>
              <c:f>'Kategoria dostępności'!$B$3</c:f>
              <c:numCache>
                <c:formatCode>General</c:formatCode>
                <c:ptCount val="1"/>
                <c:pt idx="0">
                  <c:v>5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1-D487-4900-BA71-8D4D9D8B41A9}"/>
            </c:ext>
          </c:extLst>
        </c:ser>
        <c:ser>
          <c:idx val="1"/>
          <c:order val="2"/>
          <c:tx>
            <c:strRef>
              <c:f>'Kategoria dostępności'!$A$4</c:f>
              <c:strCache>
                <c:ptCount val="1"/>
                <c:pt idx="0">
                  <c:v>Chemioterapia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satMod val="103000"/>
                    <a:lumMod val="102000"/>
                    <a:tint val="94000"/>
                  </a:schemeClr>
                </a:gs>
                <a:gs pos="50000">
                  <a:schemeClr val="accent5">
                    <a:satMod val="110000"/>
                    <a:lumMod val="100000"/>
                    <a:shade val="100000"/>
                  </a:schemeClr>
                </a:gs>
                <a:gs pos="100000">
                  <a:schemeClr val="accent5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/>
                    </a:solidFill>
                    <a:latin typeface="Lato" panose="020F0502020204030203" pitchFamily="34" charset="-18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'Kategoria dostępności'!$B$2</c:f>
              <c:strCache>
                <c:ptCount val="1"/>
                <c:pt idx="0">
                  <c:v>2023 
(stan na maj)</c:v>
                </c:pt>
              </c:strCache>
              <c:extLst/>
            </c:strRef>
          </c:cat>
          <c:val>
            <c:numRef>
              <c:f>'Kategoria dostępności'!$B$4</c:f>
              <c:numCache>
                <c:formatCode>General</c:formatCode>
                <c:ptCount val="1"/>
                <c:pt idx="0">
                  <c:v>11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2-D487-4900-BA71-8D4D9D8B41A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75"/>
        <c:axId val="1288787007"/>
        <c:axId val="1288791583"/>
      </c:barChart>
      <c:catAx>
        <c:axId val="128878700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1288791583"/>
        <c:crosses val="autoZero"/>
        <c:auto val="1"/>
        <c:lblAlgn val="ctr"/>
        <c:lblOffset val="100"/>
        <c:noMultiLvlLbl val="0"/>
      </c:catAx>
      <c:valAx>
        <c:axId val="128879158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128878700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8.1718433404293522E-2"/>
          <c:y val="0.91720833553523928"/>
          <c:w val="0.83656279121461607"/>
          <c:h val="6.936884567281438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r>
              <a:rPr lang="pl-PL" sz="800">
                <a:solidFill>
                  <a:sysClr val="windowText" lastClr="000000"/>
                </a:solidFill>
                <a:latin typeface="Lato" panose="020F0502020204030203" pitchFamily="34" charset="-18"/>
              </a:rPr>
              <a:t>Liczba nowych cząsteczko-wskazań - wskazania rzadkie</a:t>
            </a:r>
          </a:p>
        </c:rich>
      </c:tx>
      <c:layout>
        <c:manualLayout>
          <c:xMode val="edge"/>
          <c:yMode val="edge"/>
          <c:x val="0.14540259648751963"/>
          <c:y val="8.8711465956974947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kern="120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5.5281496004364293E-2"/>
          <c:y val="0.15693018372703413"/>
          <c:w val="0.91934852360152752"/>
          <c:h val="0.6493312335958004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'Wskazania rzadkie'!$A$3</c:f>
              <c:strCache>
                <c:ptCount val="1"/>
                <c:pt idx="0">
                  <c:v>Wskazanie rzadkie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Lato" panose="020F0502020204030203" pitchFamily="34" charset="-18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'Wskazania rzadkie'!$B$2</c:f>
              <c:strCache>
                <c:ptCount val="1"/>
                <c:pt idx="0">
                  <c:v>2023 
(stan na maj)</c:v>
                </c:pt>
              </c:strCache>
              <c:extLst/>
            </c:strRef>
          </c:cat>
          <c:val>
            <c:numRef>
              <c:f>'Wskazania rzadkie'!$B$3</c:f>
              <c:numCache>
                <c:formatCode>General</c:formatCode>
                <c:ptCount val="1"/>
                <c:pt idx="0">
                  <c:v>27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513D-45B1-95D9-442070C36A76}"/>
            </c:ext>
          </c:extLst>
        </c:ser>
        <c:ser>
          <c:idx val="1"/>
          <c:order val="1"/>
          <c:tx>
            <c:strRef>
              <c:f>'Wskazania rzadkie'!$A$4</c:f>
              <c:strCache>
                <c:ptCount val="1"/>
                <c:pt idx="0">
                  <c:v>Pozostałe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satMod val="103000"/>
                    <a:lumMod val="102000"/>
                    <a:tint val="94000"/>
                  </a:schemeClr>
                </a:gs>
                <a:gs pos="50000">
                  <a:schemeClr val="accent5">
                    <a:satMod val="110000"/>
                    <a:lumMod val="100000"/>
                    <a:shade val="100000"/>
                  </a:schemeClr>
                </a:gs>
                <a:gs pos="100000">
                  <a:schemeClr val="accent5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Lato" panose="020F0502020204030203" pitchFamily="34" charset="-18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'Wskazania rzadkie'!$B$2</c:f>
              <c:strCache>
                <c:ptCount val="1"/>
                <c:pt idx="0">
                  <c:v>2023 
(stan na maj)</c:v>
                </c:pt>
              </c:strCache>
              <c:extLst/>
            </c:strRef>
          </c:cat>
          <c:val>
            <c:numRef>
              <c:f>'Wskazania rzadkie'!$B$4</c:f>
              <c:numCache>
                <c:formatCode>General</c:formatCode>
                <c:ptCount val="1"/>
                <c:pt idx="0">
                  <c:v>31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1-513D-45B1-95D9-442070C36A7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00"/>
        <c:axId val="703837167"/>
        <c:axId val="703834255"/>
      </c:barChart>
      <c:catAx>
        <c:axId val="703837167"/>
        <c:scaling>
          <c:orientation val="minMax"/>
        </c:scaling>
        <c:delete val="0"/>
        <c:axPos val="b"/>
        <c:numFmt formatCode="General" sourceLinked="1"/>
        <c:majorTickMark val="in"/>
        <c:minorTickMark val="in"/>
        <c:tickLblPos val="low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03834255"/>
        <c:crosses val="autoZero"/>
        <c:auto val="1"/>
        <c:lblAlgn val="ctr"/>
        <c:lblOffset val="100"/>
        <c:noMultiLvlLbl val="0"/>
      </c:catAx>
      <c:valAx>
        <c:axId val="703834255"/>
        <c:scaling>
          <c:orientation val="minMax"/>
          <c:max val="45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0383716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8386478535820605"/>
          <c:y val="0.92664916885389326"/>
          <c:w val="0.6322704292835879"/>
          <c:h val="6.890638670166229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900" b="1" i="0" u="none" strike="noStrike" kern="1200" spc="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r>
              <a:rPr lang="pl-PL" sz="900" b="1">
                <a:solidFill>
                  <a:sysClr val="windowText" lastClr="000000"/>
                </a:solidFill>
                <a:latin typeface="Lato" panose="020F0502020204030203" pitchFamily="34" charset="-18"/>
              </a:rPr>
              <a:t>Cząsteczko-wskazania onkologiczne w 2023 r. (stan na maj)</a:t>
            </a:r>
          </a:p>
        </c:rich>
      </c:tx>
      <c:layout>
        <c:manualLayout>
          <c:xMode val="edge"/>
          <c:yMode val="edge"/>
          <c:x val="0.15731302065502681"/>
          <c:y val="8.5129772096513186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900" b="1" i="0" u="none" strike="noStrike" kern="1200" spc="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13582997522272922"/>
          <c:y val="0.10882992668396359"/>
          <c:w val="0.84009663854336591"/>
          <c:h val="0.80748058616668328"/>
        </c:manualLayout>
      </c:layout>
      <c:barChart>
        <c:barDir val="bar"/>
        <c:grouping val="clustered"/>
        <c:varyColors val="0"/>
        <c:ser>
          <c:idx val="10"/>
          <c:order val="0"/>
          <c:tx>
            <c:strRef>
              <c:f>'miesiące 2023'!$B$2</c:f>
              <c:strCache>
                <c:ptCount val="1"/>
                <c:pt idx="0">
                  <c:v>2023
(stan na maj)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</c:spPr>
          <c:invertIfNegative val="0"/>
          <c:cat>
            <c:strRef>
              <c:f>'miesiące 2023'!$A$3:$A$12</c:f>
              <c:strCache>
                <c:ptCount val="6"/>
                <c:pt idx="0">
                  <c:v>Inne</c:v>
                </c:pt>
                <c:pt idx="1">
                  <c:v>Nowotwory układu 
urologicznego</c:v>
                </c:pt>
                <c:pt idx="2">
                  <c:v>Nowotwory skóry</c:v>
                </c:pt>
                <c:pt idx="3">
                  <c:v>Nowotwory układu 
pokarmowego</c:v>
                </c:pt>
                <c:pt idx="4">
                  <c:v>Nowotwory układu 
oddechowego</c:v>
                </c:pt>
                <c:pt idx="5">
                  <c:v>Hematoonkologia</c:v>
                </c:pt>
              </c:strCache>
              <c:extLst/>
            </c:strRef>
          </c:cat>
          <c:val>
            <c:numRef>
              <c:f>'miesiące 2023'!$B$3:$B$12</c:f>
              <c:numCache>
                <c:formatCode>General</c:formatCode>
                <c:ptCount val="6"/>
                <c:pt idx="0">
                  <c:v>2</c:v>
                </c:pt>
                <c:pt idx="1">
                  <c:v>5</c:v>
                </c:pt>
                <c:pt idx="2">
                  <c:v>1</c:v>
                </c:pt>
                <c:pt idx="3">
                  <c:v>3</c:v>
                </c:pt>
                <c:pt idx="4">
                  <c:v>8</c:v>
                </c:pt>
                <c:pt idx="5">
                  <c:v>20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9380-421E-BD11-C7273AB0C18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51046271"/>
        <c:axId val="751054175"/>
      </c:barChart>
      <c:valAx>
        <c:axId val="751054175"/>
        <c:scaling>
          <c:orientation val="minMax"/>
          <c:max val="2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51046271"/>
        <c:crosses val="autoZero"/>
        <c:crossBetween val="between"/>
        <c:majorUnit val="2"/>
      </c:valAx>
      <c:catAx>
        <c:axId val="751046271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51054175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0"/>
          <a:lstStyle/>
          <a:p>
            <a:pPr algn="ctr">
              <a:defRPr sz="900" b="1" i="0" u="none" strike="noStrike" kern="1200" spc="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r>
              <a:rPr lang="pl-PL" sz="900" b="1">
                <a:latin typeface="Lato" panose="020F0502020204030203" pitchFamily="34" charset="-18"/>
              </a:rPr>
              <a:t>Cząsteczko-wskazania nieonkologiczne w 2023 r. (stan na maj)</a:t>
            </a:r>
          </a:p>
        </c:rich>
      </c:tx>
      <c:layout>
        <c:manualLayout>
          <c:xMode val="edge"/>
          <c:yMode val="edge"/>
          <c:x val="0.14823942461737735"/>
          <c:y val="4.5766590389016018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0"/>
        <a:lstStyle/>
        <a:p>
          <a:pPr algn="ctr">
            <a:defRPr sz="900" b="1" i="0" u="none" strike="noStrike" kern="1200" spc="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21526172864755538"/>
          <c:y val="0.10020937314185842"/>
          <c:w val="0.76067150697071961"/>
          <c:h val="0.81638840339465557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'miesiące 2023'!$B$19</c:f>
              <c:strCache>
                <c:ptCount val="1"/>
                <c:pt idx="0">
                  <c:v>2023
(stan na maj)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</c:spPr>
          <c:invertIfNegative val="0"/>
          <c:cat>
            <c:strRef>
              <c:f>'miesiące 2023'!$A$20:$A$38</c:f>
              <c:strCache>
                <c:ptCount val="9"/>
                <c:pt idx="0">
                  <c:v>Reumatologia</c:v>
                </c:pt>
                <c:pt idx="1">
                  <c:v>Neurologia</c:v>
                </c:pt>
                <c:pt idx="2">
                  <c:v>Kardiologia</c:v>
                </c:pt>
                <c:pt idx="3">
                  <c:v>Immunologia</c:v>
                </c:pt>
                <c:pt idx="4">
                  <c:v>Hematologia</c:v>
                </c:pt>
                <c:pt idx="5">
                  <c:v>Gastroenterologia</c:v>
                </c:pt>
                <c:pt idx="6">
                  <c:v>Diabetologia</c:v>
                </c:pt>
                <c:pt idx="7">
                  <c:v>Dermatologia</c:v>
                </c:pt>
                <c:pt idx="8">
                  <c:v>Choroby metaboliczne</c:v>
                </c:pt>
              </c:strCache>
              <c:extLst/>
            </c:strRef>
          </c:cat>
          <c:val>
            <c:numRef>
              <c:f>'miesiące 2023'!$B$20:$B$38</c:f>
              <c:numCache>
                <c:formatCode>General</c:formatCode>
                <c:ptCount val="9"/>
                <c:pt idx="0">
                  <c:v>2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4</c:v>
                </c:pt>
                <c:pt idx="5">
                  <c:v>4</c:v>
                </c:pt>
                <c:pt idx="6">
                  <c:v>1</c:v>
                </c:pt>
                <c:pt idx="7">
                  <c:v>4</c:v>
                </c:pt>
                <c:pt idx="8">
                  <c:v>1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C9BD-4790-ABCB-F38EA1555E7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41296495"/>
        <c:axId val="241294831"/>
      </c:barChart>
      <c:valAx>
        <c:axId val="241294831"/>
        <c:scaling>
          <c:orientation val="minMax"/>
          <c:max val="4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241296495"/>
        <c:crosses val="autoZero"/>
        <c:crossBetween val="between"/>
        <c:majorUnit val="1"/>
      </c:valAx>
      <c:catAx>
        <c:axId val="24129649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241294831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90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8820A6-1C4E-4D55-9963-5FAB8C27E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19</Pages>
  <Words>5116</Words>
  <Characters>30699</Characters>
  <Application>Microsoft Office Word</Application>
  <DocSecurity>0</DocSecurity>
  <Lines>255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Tobiaszewski Paweł</dc:creator>
  <cp:keywords/>
  <dc:description/>
  <cp:lastModifiedBy>Królak-Buzakowska Joanna</cp:lastModifiedBy>
  <cp:revision>11</cp:revision>
  <dcterms:created xsi:type="dcterms:W3CDTF">2023-06-19T08:53:00Z</dcterms:created>
  <dcterms:modified xsi:type="dcterms:W3CDTF">2023-06-20T14:23:00Z</dcterms:modified>
</cp:coreProperties>
</file>