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17FD" w14:textId="3CE99558" w:rsidR="008E3801" w:rsidRDefault="008E3801">
      <w:pPr>
        <w:pStyle w:val="Tekstpodstawowy"/>
        <w:spacing w:before="294"/>
        <w:ind w:left="0"/>
        <w:jc w:val="left"/>
        <w:rPr>
          <w:rFonts w:ascii="Times New Roman"/>
          <w:sz w:val="28"/>
        </w:rPr>
      </w:pPr>
    </w:p>
    <w:p w14:paraId="5C2A092B" w14:textId="01A7AFFE" w:rsidR="008E3801" w:rsidRPr="00FD3298" w:rsidRDefault="00000000">
      <w:pPr>
        <w:pStyle w:val="Nagwek1"/>
        <w:spacing w:line="339" w:lineRule="exact"/>
        <w:ind w:left="0" w:right="4"/>
        <w:jc w:val="right"/>
        <w:rPr>
          <w:lang w:val="pl-PL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4E24EA8" wp14:editId="2D56ED38">
            <wp:simplePos x="0" y="0"/>
            <wp:positionH relativeFrom="page">
              <wp:posOffset>486756</wp:posOffset>
            </wp:positionH>
            <wp:positionV relativeFrom="paragraph">
              <wp:posOffset>-389740</wp:posOffset>
            </wp:positionV>
            <wp:extent cx="2344361" cy="86503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361" cy="86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298">
        <w:rPr>
          <w:color w:val="002856"/>
          <w:spacing w:val="-5"/>
          <w:w w:val="115"/>
          <w:sz w:val="26"/>
          <w:lang w:val="pl-PL"/>
        </w:rPr>
        <w:t>ECHR-KS</w:t>
      </w:r>
    </w:p>
    <w:p w14:paraId="53AEA2AB" w14:textId="44D39FFB" w:rsidR="008E3801" w:rsidRPr="00FD3298" w:rsidRDefault="00000000" w:rsidP="00FD3298">
      <w:pPr>
        <w:ind w:left="4320"/>
        <w:jc w:val="both"/>
        <w:rPr>
          <w:i/>
          <w:sz w:val="19"/>
          <w:lang w:val="pl-PL"/>
        </w:rPr>
      </w:pPr>
      <w:r w:rsidRPr="00FD3298">
        <w:rPr>
          <w:i/>
          <w:sz w:val="19"/>
          <w:lang w:val="pl-PL"/>
        </w:rPr>
        <w:t>Kluczowy temat - Artykuł 6 (karny) Wyczerpanie krajowych środków odwoławczych/zgodność z zasadą czterech miesięcy (przedwczesne przyznanie</w:t>
      </w:r>
      <w:r w:rsidR="00A83DD2" w:rsidRPr="00FD3298">
        <w:rPr>
          <w:i/>
          <w:sz w:val="19"/>
          <w:lang w:val="pl-PL"/>
        </w:rPr>
        <w:t xml:space="preserve"> </w:t>
      </w:r>
      <w:r w:rsidRPr="00FD3298">
        <w:rPr>
          <w:i/>
          <w:spacing w:val="-2"/>
          <w:sz w:val="19"/>
          <w:lang w:val="pl-PL"/>
        </w:rPr>
        <w:t>się do winy)</w:t>
      </w:r>
    </w:p>
    <w:p w14:paraId="6DA3511C" w14:textId="0C5D8A6C" w:rsidR="008E3801" w:rsidRPr="00FD3298" w:rsidRDefault="00A83DD2">
      <w:pPr>
        <w:pStyle w:val="Tekstpodstawowy"/>
        <w:spacing w:before="36"/>
        <w:ind w:left="0"/>
        <w:jc w:val="left"/>
        <w:rPr>
          <w:i/>
          <w:sz w:val="32"/>
          <w:lang w:val="pl-PL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858867D" wp14:editId="1429435F">
                <wp:simplePos x="0" y="0"/>
                <wp:positionH relativeFrom="page">
                  <wp:posOffset>411348</wp:posOffset>
                </wp:positionH>
                <wp:positionV relativeFrom="paragraph">
                  <wp:posOffset>31379</wp:posOffset>
                </wp:positionV>
                <wp:extent cx="6624955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>
                              <a:moveTo>
                                <a:pt x="0" y="0"/>
                              </a:moveTo>
                              <a:lnTo>
                                <a:pt x="66249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83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CF7EA" id="Graphic 2" o:spid="_x0000_s1026" style="position:absolute;margin-left:32.4pt;margin-top:2.45pt;width:521.6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" path="m,l6624955,e" filled="f" strokecolor="#838383">
                <v:path arrowok="t"/>
                <w10:wrap anchorx="page"/>
              </v:shape>
            </w:pict>
          </mc:Fallback>
        </mc:AlternateContent>
      </w:r>
    </w:p>
    <w:p w14:paraId="2D6B9AF4" w14:textId="77777777" w:rsidR="008E3801" w:rsidRPr="00FD3298" w:rsidRDefault="00000000">
      <w:pPr>
        <w:ind w:left="1" w:right="1"/>
        <w:jc w:val="center"/>
        <w:rPr>
          <w:b/>
          <w:sz w:val="32"/>
          <w:lang w:val="pl-PL"/>
        </w:rPr>
      </w:pPr>
      <w:r w:rsidRPr="00FD3298">
        <w:rPr>
          <w:b/>
          <w:color w:val="2C2C2C"/>
          <w:sz w:val="30"/>
          <w:lang w:val="pl-PL"/>
        </w:rPr>
        <w:t xml:space="preserve">KLUCZOWY </w:t>
      </w:r>
      <w:r w:rsidRPr="00FD3298">
        <w:rPr>
          <w:b/>
          <w:color w:val="2C2C2C"/>
          <w:spacing w:val="-2"/>
          <w:sz w:val="30"/>
          <w:lang w:val="pl-PL"/>
        </w:rPr>
        <w:t>TEMAT</w:t>
      </w:r>
      <w:r w:rsidRPr="00FD3298">
        <w:rPr>
          <w:b/>
          <w:color w:val="2C2C2C"/>
          <w:spacing w:val="-2"/>
          <w:sz w:val="30"/>
          <w:vertAlign w:val="superscript"/>
          <w:lang w:val="pl-PL"/>
        </w:rPr>
        <w:t>1</w:t>
      </w:r>
    </w:p>
    <w:p w14:paraId="14245F2E" w14:textId="77777777" w:rsidR="008E3801" w:rsidRPr="00FD3298" w:rsidRDefault="00000000">
      <w:pPr>
        <w:ind w:right="1"/>
        <w:jc w:val="center"/>
        <w:rPr>
          <w:b/>
          <w:sz w:val="32"/>
          <w:lang w:val="pl-PL"/>
        </w:rPr>
      </w:pPr>
      <w:r w:rsidRPr="00FD3298">
        <w:rPr>
          <w:b/>
          <w:color w:val="2C2C2C"/>
          <w:sz w:val="30"/>
          <w:lang w:val="pl-PL"/>
        </w:rPr>
        <w:t>Artykuł 6 (</w:t>
      </w:r>
      <w:r w:rsidRPr="00FD3298">
        <w:rPr>
          <w:b/>
          <w:color w:val="2C2C2C"/>
          <w:spacing w:val="-4"/>
          <w:sz w:val="30"/>
          <w:lang w:val="pl-PL"/>
        </w:rPr>
        <w:t xml:space="preserve">część </w:t>
      </w:r>
      <w:r w:rsidRPr="00FD3298">
        <w:rPr>
          <w:b/>
          <w:color w:val="2C2C2C"/>
          <w:sz w:val="30"/>
          <w:lang w:val="pl-PL"/>
        </w:rPr>
        <w:t>karna</w:t>
      </w:r>
      <w:r w:rsidRPr="00FD3298">
        <w:rPr>
          <w:b/>
          <w:color w:val="2C2C2C"/>
          <w:spacing w:val="-4"/>
          <w:sz w:val="30"/>
          <w:lang w:val="pl-PL"/>
        </w:rPr>
        <w:t>)</w:t>
      </w:r>
    </w:p>
    <w:p w14:paraId="526427B3" w14:textId="77777777" w:rsidR="008E3801" w:rsidRPr="00FD3298" w:rsidRDefault="00000000">
      <w:pPr>
        <w:ind w:left="904" w:right="904"/>
        <w:jc w:val="center"/>
        <w:rPr>
          <w:b/>
          <w:sz w:val="32"/>
          <w:lang w:val="pl-PL"/>
        </w:rPr>
      </w:pPr>
      <w:r w:rsidRPr="00FD3298">
        <w:rPr>
          <w:b/>
          <w:color w:val="2C2C2C"/>
          <w:sz w:val="30"/>
          <w:lang w:val="pl-PL"/>
        </w:rPr>
        <w:t>Wyczerpanie krajowych środków prawnych/zgodność z zasadą czterech miesięcy (przedwczesne przyznanie się do winy)</w:t>
      </w:r>
    </w:p>
    <w:p w14:paraId="6753DC83" w14:textId="77777777" w:rsidR="008E3801" w:rsidRPr="00FD3298" w:rsidRDefault="00000000">
      <w:pPr>
        <w:pStyle w:val="Nagwek3"/>
        <w:spacing w:before="240"/>
        <w:ind w:left="1" w:right="1"/>
        <w:jc w:val="center"/>
        <w:rPr>
          <w:lang w:val="pl-PL"/>
        </w:rPr>
      </w:pPr>
      <w:r w:rsidRPr="00FD3298">
        <w:rPr>
          <w:color w:val="2C2C2C"/>
          <w:sz w:val="22"/>
          <w:lang w:val="pl-PL"/>
        </w:rPr>
        <w:t xml:space="preserve">(Ostatnia aktualizacja: </w:t>
      </w:r>
      <w:r w:rsidRPr="00FD3298">
        <w:rPr>
          <w:color w:val="2C2C2C"/>
          <w:spacing w:val="-2"/>
          <w:sz w:val="22"/>
          <w:lang w:val="pl-PL"/>
        </w:rPr>
        <w:t>28/02/2025)</w:t>
      </w:r>
    </w:p>
    <w:p w14:paraId="173F694E" w14:textId="77777777" w:rsidR="008E3801" w:rsidRPr="00FD3298" w:rsidRDefault="00000000">
      <w:pPr>
        <w:pStyle w:val="Nagwek1"/>
        <w:spacing w:before="280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4B9768" wp14:editId="05FC2709">
                <wp:simplePos x="0" y="0"/>
                <wp:positionH relativeFrom="page">
                  <wp:posOffset>895985</wp:posOffset>
                </wp:positionH>
                <wp:positionV relativeFrom="paragraph">
                  <wp:posOffset>417447</wp:posOffset>
                </wp:positionV>
                <wp:extent cx="576897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383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95E20" id="Graphic 3" o:spid="_x0000_s1026" style="position:absolute;margin-left:70.55pt;margin-top:32.85pt;width:454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" path="m,l5768974,e" filled="f" strokecolor="#838383" strokeweight="1.5pt">
                <v:path arrowok="t"/>
                <w10:wrap type="topAndBottom" anchorx="page"/>
              </v:shape>
            </w:pict>
          </mc:Fallback>
        </mc:AlternateContent>
      </w:r>
      <w:r w:rsidRPr="00FD3298">
        <w:rPr>
          <w:color w:val="2C2C2C"/>
          <w:spacing w:val="-2"/>
          <w:sz w:val="26"/>
          <w:lang w:val="pl-PL"/>
        </w:rPr>
        <w:t>Wprowadzenie</w:t>
      </w:r>
    </w:p>
    <w:p w14:paraId="76B79566" w14:textId="05AD2DF7" w:rsidR="008E3801" w:rsidRPr="00FD3298" w:rsidRDefault="00000000">
      <w:pPr>
        <w:spacing w:before="120"/>
        <w:ind w:left="732" w:right="730"/>
        <w:jc w:val="both"/>
        <w:rPr>
          <w:lang w:val="pl-PL"/>
        </w:rPr>
      </w:pPr>
      <w:r w:rsidRPr="00FD3298">
        <w:rPr>
          <w:sz w:val="20"/>
          <w:lang w:val="pl-PL"/>
        </w:rPr>
        <w:t>Domniemanie niewinności można rozpatrywać w dwóch aspektach (</w:t>
      </w:r>
      <w:hyperlink r:id="rId9">
        <w:r w:rsidR="008E3801" w:rsidRPr="00FD3298">
          <w:rPr>
            <w:i/>
            <w:color w:val="0072BC"/>
            <w:sz w:val="20"/>
            <w:lang w:val="pl-PL"/>
          </w:rPr>
          <w:t xml:space="preserve">Allen przeciwko Zjednoczonemu </w:t>
        </w:r>
      </w:hyperlink>
      <w:hyperlink r:id="rId10">
        <w:r w:rsidR="008E3801" w:rsidRPr="00FD3298">
          <w:rPr>
            <w:i/>
            <w:color w:val="0072BC"/>
            <w:sz w:val="20"/>
            <w:lang w:val="pl-PL"/>
          </w:rPr>
          <w:t>Królestwu</w:t>
        </w:r>
      </w:hyperlink>
      <w:r w:rsidRPr="00FD3298">
        <w:rPr>
          <w:sz w:val="20"/>
          <w:lang w:val="pl-PL"/>
        </w:rPr>
        <w:t xml:space="preserve"> [</w:t>
      </w:r>
      <w:r w:rsidR="002C53E5" w:rsidRPr="00FD3298">
        <w:rPr>
          <w:sz w:val="20"/>
          <w:lang w:val="pl-PL"/>
        </w:rPr>
        <w:t>WI</w:t>
      </w:r>
      <w:r w:rsidRPr="00FD3298">
        <w:rPr>
          <w:sz w:val="20"/>
          <w:lang w:val="pl-PL"/>
        </w:rPr>
        <w:t>], 2013</w:t>
      </w:r>
      <w:r w:rsidR="00A83DD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§§ 93-94):</w:t>
      </w:r>
    </w:p>
    <w:p w14:paraId="7BEB4F81" w14:textId="1D538078" w:rsidR="008E3801" w:rsidRPr="00FD3298" w:rsidRDefault="00000000">
      <w:pPr>
        <w:pStyle w:val="Akapitzlist"/>
        <w:numPr>
          <w:ilvl w:val="0"/>
          <w:numId w:val="4"/>
        </w:numPr>
        <w:tabs>
          <w:tab w:val="left" w:pos="1583"/>
        </w:tabs>
        <w:spacing w:before="120"/>
        <w:ind w:hanging="284"/>
        <w:rPr>
          <w:lang w:val="pl-PL"/>
        </w:rPr>
      </w:pPr>
      <w:r w:rsidRPr="00FD3298">
        <w:rPr>
          <w:sz w:val="20"/>
          <w:lang w:val="pl-PL"/>
        </w:rPr>
        <w:t xml:space="preserve">Jako gwarancja proceduralna w kontekście procesu karnego, w którym nakłada wymogi </w:t>
      </w:r>
      <w:r w:rsidRPr="00FD3298">
        <w:rPr>
          <w:spacing w:val="-2"/>
          <w:sz w:val="20"/>
          <w:lang w:val="pl-PL"/>
        </w:rPr>
        <w:t>dotyczące</w:t>
      </w:r>
      <w:r w:rsidRPr="00FD3298">
        <w:rPr>
          <w:sz w:val="20"/>
          <w:lang w:val="pl-PL"/>
        </w:rPr>
        <w:t xml:space="preserve">, </w:t>
      </w:r>
      <w:r w:rsidRPr="00FD3298">
        <w:rPr>
          <w:i/>
          <w:sz w:val="20"/>
          <w:lang w:val="pl-PL"/>
        </w:rPr>
        <w:t>między innymi</w:t>
      </w:r>
      <w:r w:rsidRPr="00FD3298">
        <w:rPr>
          <w:sz w:val="20"/>
          <w:lang w:val="pl-PL"/>
        </w:rPr>
        <w:t>, ciężaru dowodu; stosowania domniemań; przywileju nieobciążania samego siebie; jawności przedprocesowej; oraz przedwczesnego wyrażania winy oskarżonego. W tym ostatnim kontekście ma on na celu zapobieganie podważaniu rzetelnego procesu karnego przez szkodliwe oświadczenia składane w ścisłym związku z tym postępowaniem (</w:t>
      </w:r>
      <w:hyperlink r:id="rId11">
        <w:r w:rsidR="008E3801" w:rsidRPr="00FD3298">
          <w:rPr>
            <w:i/>
            <w:color w:val="0072BC"/>
            <w:sz w:val="20"/>
            <w:lang w:val="pl-PL"/>
          </w:rPr>
          <w:t>Kasatkin przeciwko Rosji</w:t>
        </w:r>
      </w:hyperlink>
      <w:r w:rsidRPr="00FD3298">
        <w:rPr>
          <w:sz w:val="20"/>
          <w:lang w:val="pl-PL"/>
        </w:rPr>
        <w:t xml:space="preserve"> (dec.), 2021</w:t>
      </w:r>
      <w:r w:rsidR="009307ED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22).</w:t>
      </w:r>
    </w:p>
    <w:p w14:paraId="0D5605F9" w14:textId="5D063B07" w:rsidR="008E3801" w:rsidRPr="00FD3298" w:rsidRDefault="00000000">
      <w:pPr>
        <w:pStyle w:val="Akapitzlist"/>
        <w:numPr>
          <w:ilvl w:val="0"/>
          <w:numId w:val="4"/>
        </w:numPr>
        <w:tabs>
          <w:tab w:val="left" w:pos="1583"/>
        </w:tabs>
        <w:ind w:hanging="284"/>
        <w:rPr>
          <w:lang w:val="pl-PL"/>
        </w:rPr>
      </w:pPr>
      <w:r w:rsidRPr="00FD3298">
        <w:rPr>
          <w:sz w:val="20"/>
          <w:lang w:val="pl-PL"/>
        </w:rPr>
        <w:t xml:space="preserve">Jako gwarancję ochrony osób uniewinnionych od zarzutu popełnienia przestępstwa lub osób, wobec których postępowanie karne zostało umorzone, przed traktowaniem ich przez władze tak, jakby w rzeczywistości były winne zarzucanego im przestępstwa. Do pewnego stopnia ochrona przyznana na mocy art. 6 </w:t>
      </w:r>
      <w:r w:rsidR="00FD3298">
        <w:rPr>
          <w:sz w:val="20"/>
          <w:lang w:val="pl-PL"/>
        </w:rPr>
        <w:t xml:space="preserve">ust. </w:t>
      </w:r>
      <w:r w:rsidRPr="00FD3298">
        <w:rPr>
          <w:sz w:val="20"/>
          <w:lang w:val="pl-PL"/>
        </w:rPr>
        <w:t>2 w tym zakresie może pokrywać się z ochroną przyznaną na mocy art. 8 Konwencji.</w:t>
      </w:r>
    </w:p>
    <w:p w14:paraId="382FC98B" w14:textId="56AE1CDA" w:rsidR="008E3801" w:rsidRPr="00FD3298" w:rsidRDefault="00000000">
      <w:pPr>
        <w:pStyle w:val="Tekstpodstawowy"/>
        <w:ind w:right="730"/>
        <w:rPr>
          <w:lang w:val="pl-PL"/>
        </w:rPr>
      </w:pPr>
      <w:r w:rsidRPr="00FD3298">
        <w:rPr>
          <w:sz w:val="20"/>
          <w:lang w:val="pl-PL"/>
        </w:rPr>
        <w:t>Ten Temat Kluczowy koncentruje się na kwestii, które krajowe środki odwoławcze można uznać za skuteczne w odniesieniu do przedwczesnego stwierdzenia winy oskarżonego przez funkcjonariuszy publicznych (</w:t>
      </w:r>
      <w:hyperlink r:id="rId12">
        <w:r w:rsidRPr="00FD3298">
          <w:rPr>
            <w:i/>
            <w:color w:val="0072BC"/>
            <w:sz w:val="20"/>
            <w:lang w:val="pl-PL"/>
          </w:rPr>
          <w:t xml:space="preserve">Allenet de Ribemont </w:t>
        </w:r>
      </w:hyperlink>
      <w:hyperlink r:id="rId13">
        <w:r w:rsidR="008E3801" w:rsidRPr="00FD3298">
          <w:rPr>
            <w:i/>
            <w:color w:val="0072BC"/>
            <w:sz w:val="20"/>
            <w:lang w:val="pl-PL"/>
          </w:rPr>
          <w:t>przeciwko Francji</w:t>
        </w:r>
      </w:hyperlink>
      <w:r w:rsidRPr="00FD3298">
        <w:rPr>
          <w:sz w:val="20"/>
          <w:lang w:val="pl-PL"/>
        </w:rPr>
        <w:t>, 1995</w:t>
      </w:r>
      <w:r w:rsidR="00A83DD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§§ 35-36), w tym sędziów rozpatrujących sprawę skarżącego.</w:t>
      </w:r>
    </w:p>
    <w:p w14:paraId="1C53BA28" w14:textId="77777777" w:rsidR="008E3801" w:rsidRPr="00FD3298" w:rsidRDefault="00000000">
      <w:pPr>
        <w:pStyle w:val="Tekstpodstawowy"/>
        <w:ind w:right="730"/>
        <w:rPr>
          <w:lang w:val="pl-PL"/>
        </w:rPr>
      </w:pPr>
      <w:r w:rsidRPr="00FD3298">
        <w:rPr>
          <w:sz w:val="20"/>
          <w:lang w:val="pl-PL"/>
        </w:rPr>
        <w:t>Podstawową kwestią jest to, czy środki karne (a mianowicie skarga w ramach postępowania karnego) lub cywilne mogą być uznane za właściwe i skuteczne.</w:t>
      </w:r>
    </w:p>
    <w:p w14:paraId="53195025" w14:textId="77777777" w:rsidR="008E3801" w:rsidRPr="00FD3298" w:rsidRDefault="008E3801">
      <w:pPr>
        <w:pStyle w:val="Tekstpodstawowy"/>
        <w:spacing w:before="11"/>
        <w:ind w:left="0"/>
        <w:jc w:val="left"/>
        <w:rPr>
          <w:lang w:val="pl-PL"/>
        </w:rPr>
      </w:pPr>
    </w:p>
    <w:p w14:paraId="0D247D73" w14:textId="77777777" w:rsidR="008E3801" w:rsidRPr="00FD3298" w:rsidRDefault="00000000">
      <w:pPr>
        <w:pStyle w:val="Nagwek1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7224DE" wp14:editId="76FD23A4">
                <wp:simplePos x="0" y="0"/>
                <wp:positionH relativeFrom="page">
                  <wp:posOffset>895985</wp:posOffset>
                </wp:positionH>
                <wp:positionV relativeFrom="paragraph">
                  <wp:posOffset>239611</wp:posOffset>
                </wp:positionV>
                <wp:extent cx="576897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383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7F8C9" id="Graphic 4" o:spid="_x0000_s1026" style="position:absolute;margin-left:70.55pt;margin-top:18.85pt;width:454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" path="m,l5768974,e" filled="f" strokecolor="#838383" strokeweight="1.5pt">
                <v:path arrowok="t"/>
                <w10:wrap type="topAndBottom" anchorx="page"/>
              </v:shape>
            </w:pict>
          </mc:Fallback>
        </mc:AlternateContent>
      </w:r>
      <w:r w:rsidRPr="00FD3298">
        <w:rPr>
          <w:color w:val="2C2C2C"/>
          <w:sz w:val="26"/>
          <w:lang w:val="pl-PL"/>
        </w:rPr>
        <w:t xml:space="preserve">Zasady wynikające z aktualnego </w:t>
      </w:r>
      <w:r w:rsidRPr="00FD3298">
        <w:rPr>
          <w:color w:val="2C2C2C"/>
          <w:spacing w:val="-5"/>
          <w:sz w:val="26"/>
          <w:lang w:val="pl-PL"/>
        </w:rPr>
        <w:t>orzecznictwa</w:t>
      </w:r>
    </w:p>
    <w:p w14:paraId="4DBAF401" w14:textId="65FA4FFA" w:rsidR="00820EB7" w:rsidRPr="00FD3298" w:rsidRDefault="00000000" w:rsidP="00FD3298">
      <w:pPr>
        <w:pStyle w:val="Nagwek2"/>
        <w:spacing w:before="284" w:after="240" w:line="254" w:lineRule="auto"/>
        <w:rPr>
          <w:color w:val="2C2C2C"/>
          <w:w w:val="90"/>
          <w:sz w:val="26"/>
          <w:lang w:val="pl-PL"/>
        </w:rPr>
      </w:pPr>
      <w:r w:rsidRPr="00FD3298">
        <w:rPr>
          <w:color w:val="2C2C2C"/>
          <w:spacing w:val="-8"/>
          <w:sz w:val="26"/>
          <w:lang w:val="pl-PL"/>
        </w:rPr>
        <w:t xml:space="preserve">Czynniki, które należy wziąć pod uwagę przy ustalaniu, czy </w:t>
      </w:r>
      <w:r w:rsidRPr="00FD3298">
        <w:rPr>
          <w:color w:val="2C2C2C"/>
          <w:w w:val="90"/>
          <w:sz w:val="26"/>
          <w:lang w:val="pl-PL"/>
        </w:rPr>
        <w:t xml:space="preserve">środki </w:t>
      </w:r>
      <w:r w:rsidRPr="00FD3298">
        <w:rPr>
          <w:color w:val="2C2C2C"/>
          <w:spacing w:val="-8"/>
          <w:sz w:val="26"/>
          <w:lang w:val="pl-PL"/>
        </w:rPr>
        <w:t xml:space="preserve">cywilnoprawne i/lub </w:t>
      </w:r>
      <w:r w:rsidRPr="00FD3298">
        <w:rPr>
          <w:color w:val="2C2C2C"/>
          <w:w w:val="90"/>
          <w:sz w:val="26"/>
          <w:lang w:val="pl-PL"/>
        </w:rPr>
        <w:t>karnoprawne są skuteczne:</w:t>
      </w:r>
    </w:p>
    <w:p w14:paraId="6EBDE07C" w14:textId="7DF3B9F6" w:rsidR="008E3801" w:rsidRPr="00FD3298" w:rsidRDefault="00000000" w:rsidP="00FD3298">
      <w:pPr>
        <w:ind w:left="732" w:right="680"/>
        <w:jc w:val="both"/>
        <w:rPr>
          <w:lang w:val="pl-PL"/>
        </w:rPr>
      </w:pPr>
      <w:r w:rsidRPr="00FD3298">
        <w:rPr>
          <w:sz w:val="20"/>
          <w:lang w:val="pl-PL"/>
        </w:rPr>
        <w:t xml:space="preserve">Trybunał bierze pod uwagę kilka czynników przy ustalaniu, jakie środki odwoławcze - te dostępne w kontekście procesu karnego i/lub w odrębnym postępowaniu cywilnym - mogą być skuteczne w odniesieniu do skarg dotyczących domniemania niewinności (na przykład </w:t>
      </w:r>
      <w:hyperlink r:id="rId14">
        <w:r w:rsidR="008E3801" w:rsidRPr="00FD3298">
          <w:rPr>
            <w:i/>
            <w:color w:val="0072BC"/>
            <w:sz w:val="20"/>
            <w:lang w:val="pl-PL"/>
          </w:rPr>
          <w:t>Matijašević przeciwko Serbii</w:t>
        </w:r>
      </w:hyperlink>
      <w:r w:rsidRPr="00FD3298">
        <w:rPr>
          <w:sz w:val="20"/>
          <w:lang w:val="pl-PL"/>
        </w:rPr>
        <w:t>, 2006</w:t>
      </w:r>
      <w:r w:rsidR="00A83DD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32 i 33; </w:t>
      </w:r>
      <w:hyperlink r:id="rId15">
        <w:r w:rsidR="008E3801" w:rsidRPr="00FD3298">
          <w:rPr>
            <w:i/>
            <w:color w:val="0072BC"/>
            <w:sz w:val="20"/>
            <w:lang w:val="pl-PL"/>
          </w:rPr>
          <w:t xml:space="preserve">Lakatos </w:t>
        </w:r>
      </w:hyperlink>
      <w:hyperlink r:id="rId16">
        <w:r w:rsidR="008E3801" w:rsidRPr="00FD3298">
          <w:rPr>
            <w:i/>
            <w:color w:val="0072BC"/>
            <w:sz w:val="20"/>
            <w:lang w:val="pl-PL"/>
          </w:rPr>
          <w:t>i Inni przeciwko Serbii</w:t>
        </w:r>
      </w:hyperlink>
      <w:r w:rsidRPr="00FD3298">
        <w:rPr>
          <w:sz w:val="20"/>
          <w:lang w:val="pl-PL"/>
        </w:rPr>
        <w:t>, 2014</w:t>
      </w:r>
      <w:r w:rsidR="00A83DD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105-113; </w:t>
      </w:r>
      <w:hyperlink r:id="rId17">
        <w:r w:rsidR="008E3801" w:rsidRPr="00FD3298">
          <w:rPr>
            <w:i/>
            <w:color w:val="0072BC"/>
            <w:sz w:val="20"/>
            <w:lang w:val="pl-PL"/>
          </w:rPr>
          <w:t>Bivolaru przeciwko Rumunii</w:t>
        </w:r>
      </w:hyperlink>
      <w:r w:rsidRPr="00FD3298">
        <w:rPr>
          <w:sz w:val="20"/>
          <w:lang w:val="pl-PL"/>
        </w:rPr>
        <w:t>, 2017</w:t>
      </w:r>
      <w:r w:rsidR="00A83DD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114-116; </w:t>
      </w:r>
      <w:hyperlink r:id="rId18">
        <w:r w:rsidR="008E3801" w:rsidRPr="00FD3298">
          <w:rPr>
            <w:i/>
            <w:color w:val="0072BC"/>
            <w:sz w:val="20"/>
            <w:lang w:val="pl-PL"/>
          </w:rPr>
          <w:t xml:space="preserve">Mamaladze </w:t>
        </w:r>
      </w:hyperlink>
      <w:hyperlink r:id="rId19">
        <w:r w:rsidR="00820EB7" w:rsidRPr="00FD3298">
          <w:rPr>
            <w:i/>
            <w:color w:val="0072BC"/>
            <w:sz w:val="20"/>
            <w:lang w:val="pl-PL"/>
          </w:rPr>
          <w:t>przeciwko Gruzji</w:t>
        </w:r>
      </w:hyperlink>
      <w:r w:rsidR="00820EB7" w:rsidRPr="00FD3298">
        <w:rPr>
          <w:sz w:val="20"/>
          <w:lang w:val="pl-PL"/>
        </w:rPr>
        <w:t xml:space="preserve">, 2022 r., §§ 64-67; </w:t>
      </w:r>
      <w:hyperlink r:id="rId20">
        <w:r w:rsidR="00820EB7" w:rsidRPr="00FD3298">
          <w:rPr>
            <w:i/>
            <w:color w:val="0072BC"/>
            <w:sz w:val="20"/>
            <w:lang w:val="pl-PL"/>
          </w:rPr>
          <w:t>Okropiridze przeciwko Gruzji</w:t>
        </w:r>
      </w:hyperlink>
      <w:r w:rsidR="00820EB7" w:rsidRPr="00FD3298">
        <w:rPr>
          <w:sz w:val="20"/>
          <w:lang w:val="pl-PL"/>
        </w:rPr>
        <w:t xml:space="preserve">, 2023 r., § </w:t>
      </w:r>
      <w:r w:rsidR="00820EB7" w:rsidRPr="00FD3298">
        <w:rPr>
          <w:spacing w:val="-2"/>
          <w:sz w:val="20"/>
          <w:lang w:val="pl-PL"/>
        </w:rPr>
        <w:t>114):</w:t>
      </w:r>
    </w:p>
    <w:p w14:paraId="65C3B9C6" w14:textId="77777777" w:rsidR="008E3801" w:rsidRPr="00FD3298" w:rsidRDefault="00000000">
      <w:pPr>
        <w:pStyle w:val="Akapitzlist"/>
        <w:numPr>
          <w:ilvl w:val="0"/>
          <w:numId w:val="3"/>
        </w:numPr>
        <w:tabs>
          <w:tab w:val="left" w:pos="1013"/>
        </w:tabs>
        <w:spacing w:before="120"/>
        <w:ind w:left="1013" w:right="0" w:hanging="281"/>
        <w:rPr>
          <w:lang w:val="pl-PL"/>
        </w:rPr>
      </w:pPr>
      <w:r w:rsidRPr="00FD3298">
        <w:rPr>
          <w:sz w:val="20"/>
          <w:lang w:val="pl-PL"/>
        </w:rPr>
        <w:t xml:space="preserve">charakter i strukturę środków odwoławczych dostępnych w krajowym </w:t>
      </w:r>
      <w:r w:rsidRPr="00FD3298">
        <w:rPr>
          <w:spacing w:val="-2"/>
          <w:sz w:val="20"/>
          <w:lang w:val="pl-PL"/>
        </w:rPr>
        <w:t xml:space="preserve">porządku </w:t>
      </w:r>
      <w:r w:rsidRPr="00FD3298">
        <w:rPr>
          <w:sz w:val="20"/>
          <w:lang w:val="pl-PL"/>
        </w:rPr>
        <w:t>prawnym</w:t>
      </w:r>
      <w:r w:rsidRPr="00FD3298">
        <w:rPr>
          <w:spacing w:val="-2"/>
          <w:sz w:val="20"/>
          <w:lang w:val="pl-PL"/>
        </w:rPr>
        <w:t>;</w:t>
      </w:r>
    </w:p>
    <w:p w14:paraId="20BAC556" w14:textId="77777777" w:rsidR="008E3801" w:rsidRPr="00FD3298" w:rsidRDefault="008E3801">
      <w:pPr>
        <w:pStyle w:val="Tekstpodstawowy"/>
        <w:spacing w:before="0"/>
        <w:ind w:left="0"/>
        <w:jc w:val="left"/>
        <w:rPr>
          <w:sz w:val="20"/>
          <w:lang w:val="pl-PL"/>
        </w:rPr>
      </w:pPr>
    </w:p>
    <w:p w14:paraId="38313701" w14:textId="77777777" w:rsidR="008E3801" w:rsidRPr="00FD3298" w:rsidRDefault="00000000">
      <w:pPr>
        <w:pStyle w:val="Tekstpodstawowy"/>
        <w:spacing w:before="23"/>
        <w:ind w:left="0"/>
        <w:jc w:val="left"/>
        <w:rPr>
          <w:sz w:val="20"/>
          <w:lang w:val="pl-PL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84D34AD" wp14:editId="74EAB27A">
                <wp:simplePos x="0" y="0"/>
                <wp:positionH relativeFrom="page">
                  <wp:posOffset>914400</wp:posOffset>
                </wp:positionH>
                <wp:positionV relativeFrom="paragraph">
                  <wp:posOffset>184943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ECDD1" id="Graphic 5" o:spid="_x0000_s1026" style="position:absolute;margin-left:1in;margin-top:14.55pt;width:143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317F522" w14:textId="77777777" w:rsidR="008E3801" w:rsidRPr="00FD3298" w:rsidRDefault="008E3801">
      <w:pPr>
        <w:pStyle w:val="Tekstpodstawowy"/>
        <w:spacing w:before="4"/>
        <w:ind w:left="0"/>
        <w:jc w:val="left"/>
        <w:rPr>
          <w:sz w:val="20"/>
          <w:lang w:val="pl-PL"/>
        </w:rPr>
      </w:pPr>
    </w:p>
    <w:p w14:paraId="5923F609" w14:textId="39AECD24" w:rsidR="008E3801" w:rsidRPr="00FD3298" w:rsidRDefault="00000000">
      <w:pPr>
        <w:spacing w:before="1"/>
        <w:ind w:left="732"/>
        <w:rPr>
          <w:sz w:val="20"/>
          <w:lang w:val="pl-PL"/>
        </w:rPr>
      </w:pPr>
      <w:r w:rsidRPr="00FD3298">
        <w:rPr>
          <w:sz w:val="19"/>
          <w:vertAlign w:val="superscript"/>
          <w:lang w:val="pl-PL"/>
        </w:rPr>
        <w:t>1</w:t>
      </w:r>
      <w:r w:rsidRPr="00FD3298">
        <w:rPr>
          <w:sz w:val="19"/>
          <w:lang w:val="pl-PL"/>
        </w:rPr>
        <w:t xml:space="preserve">Przygotowane </w:t>
      </w:r>
      <w:r w:rsidRPr="00FD3298">
        <w:rPr>
          <w:spacing w:val="-1"/>
          <w:sz w:val="19"/>
          <w:lang w:val="pl-PL"/>
        </w:rPr>
        <w:t xml:space="preserve">przez </w:t>
      </w:r>
      <w:r w:rsidRPr="00FD3298">
        <w:rPr>
          <w:sz w:val="19"/>
          <w:lang w:val="pl-PL"/>
        </w:rPr>
        <w:t xml:space="preserve">Kancelarię. </w:t>
      </w:r>
      <w:r w:rsidR="002C53E5" w:rsidRPr="00FD3298">
        <w:rPr>
          <w:sz w:val="19"/>
          <w:lang w:val="pl-PL"/>
        </w:rPr>
        <w:t>Dokument n</w:t>
      </w:r>
      <w:r w:rsidRPr="00FD3298">
        <w:rPr>
          <w:sz w:val="19"/>
          <w:lang w:val="pl-PL"/>
        </w:rPr>
        <w:t xml:space="preserve">ie jest wiążący </w:t>
      </w:r>
      <w:r w:rsidRPr="00FD3298">
        <w:rPr>
          <w:spacing w:val="-2"/>
          <w:sz w:val="19"/>
          <w:lang w:val="pl-PL"/>
        </w:rPr>
        <w:t>dla Trybunału.</w:t>
      </w:r>
    </w:p>
    <w:p w14:paraId="53A2AB8F" w14:textId="77777777" w:rsidR="008E3801" w:rsidRPr="00FD3298" w:rsidRDefault="00000000">
      <w:pPr>
        <w:pStyle w:val="Tekstpodstawowy"/>
        <w:spacing w:before="5"/>
        <w:ind w:left="0"/>
        <w:jc w:val="left"/>
        <w:rPr>
          <w:sz w:val="15"/>
          <w:lang w:val="pl-PL"/>
        </w:rPr>
      </w:pPr>
      <w:r>
        <w:rPr>
          <w:noProof/>
          <w:sz w:val="15"/>
        </w:rPr>
        <w:drawing>
          <wp:anchor distT="0" distB="0" distL="0" distR="0" simplePos="0" relativeHeight="251667456" behindDoc="1" locked="0" layoutInCell="1" allowOverlap="1" wp14:anchorId="6ACDE628" wp14:editId="780385D6">
            <wp:simplePos x="0" y="0"/>
            <wp:positionH relativeFrom="page">
              <wp:posOffset>3402458</wp:posOffset>
            </wp:positionH>
            <wp:positionV relativeFrom="paragraph">
              <wp:posOffset>135122</wp:posOffset>
            </wp:positionV>
            <wp:extent cx="730883" cy="585692"/>
            <wp:effectExtent l="0" t="0" r="0" b="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83" cy="5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C6332" w14:textId="77777777" w:rsidR="008E3801" w:rsidRPr="00FD3298" w:rsidRDefault="008E3801">
      <w:pPr>
        <w:pStyle w:val="Tekstpodstawowy"/>
        <w:jc w:val="left"/>
        <w:rPr>
          <w:sz w:val="15"/>
          <w:lang w:val="pl-PL"/>
        </w:rPr>
        <w:sectPr w:rsidR="008E3801" w:rsidRPr="00FD3298">
          <w:type w:val="continuous"/>
          <w:pgSz w:w="11910" w:h="16840"/>
          <w:pgMar w:top="740" w:right="708" w:bottom="280" w:left="708" w:header="708" w:footer="708" w:gutter="0"/>
          <w:cols w:space="708"/>
        </w:sectPr>
      </w:pPr>
    </w:p>
    <w:p w14:paraId="64962B43" w14:textId="77777777" w:rsidR="008E3801" w:rsidRPr="00FD3298" w:rsidRDefault="008E3801">
      <w:pPr>
        <w:pStyle w:val="Tekstpodstawowy"/>
        <w:spacing w:before="161"/>
        <w:ind w:left="0"/>
        <w:jc w:val="left"/>
        <w:rPr>
          <w:lang w:val="pl-PL"/>
        </w:rPr>
      </w:pPr>
    </w:p>
    <w:p w14:paraId="700688B9" w14:textId="2116CA81" w:rsidR="008E3801" w:rsidRPr="00FD3298" w:rsidRDefault="00000000">
      <w:pPr>
        <w:pStyle w:val="Akapitzlist"/>
        <w:numPr>
          <w:ilvl w:val="0"/>
          <w:numId w:val="3"/>
        </w:numPr>
        <w:tabs>
          <w:tab w:val="left" w:pos="1063"/>
        </w:tabs>
        <w:spacing w:before="0"/>
        <w:ind w:left="732" w:right="728" w:firstLine="0"/>
        <w:rPr>
          <w:lang w:val="pl-PL"/>
        </w:rPr>
      </w:pPr>
      <w:r w:rsidRPr="00FD3298">
        <w:rPr>
          <w:sz w:val="20"/>
          <w:lang w:val="pl-PL"/>
        </w:rPr>
        <w:t xml:space="preserve">dokładny kontekst, w którym kwestionowane oświadczenia zostały złożone. Na przykład, jeśli oświadczenia zawierające przedwczesne </w:t>
      </w:r>
      <w:r w:rsidR="00FD3298">
        <w:rPr>
          <w:sz w:val="20"/>
          <w:lang w:val="pl-PL"/>
        </w:rPr>
        <w:t>przyznanie się do</w:t>
      </w:r>
      <w:r w:rsidRPr="00FD3298">
        <w:rPr>
          <w:sz w:val="20"/>
          <w:lang w:val="pl-PL"/>
        </w:rPr>
        <w:t xml:space="preserve"> winy są zawarte w decyzjach sądowych w sprawie skarżącego, środek odwoławczy w prawie karnym może być postrzegany jako skuteczny (</w:t>
      </w:r>
      <w:hyperlink r:id="rId22">
        <w:r w:rsidR="008E3801" w:rsidRPr="00FD3298">
          <w:rPr>
            <w:i/>
            <w:color w:val="0072BC"/>
            <w:sz w:val="20"/>
            <w:lang w:val="pl-PL"/>
          </w:rPr>
          <w:t>Matijašević przeciwko Serbii</w:t>
        </w:r>
      </w:hyperlink>
      <w:r w:rsidRPr="00FD3298">
        <w:rPr>
          <w:sz w:val="20"/>
          <w:lang w:val="pl-PL"/>
        </w:rPr>
        <w:t>, 2006</w:t>
      </w:r>
      <w:r w:rsidR="00820EB7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32 i 33 oraz </w:t>
      </w:r>
      <w:hyperlink r:id="rId23">
        <w:r w:rsidR="008E3801" w:rsidRPr="00FD3298">
          <w:rPr>
            <w:i/>
            <w:color w:val="0072BC"/>
            <w:sz w:val="20"/>
            <w:lang w:val="pl-PL"/>
          </w:rPr>
          <w:t xml:space="preserve">Hajnal </w:t>
        </w:r>
      </w:hyperlink>
      <w:hyperlink r:id="rId24">
        <w:r w:rsidR="008E3801" w:rsidRPr="00FD3298">
          <w:rPr>
            <w:i/>
            <w:color w:val="0072BC"/>
            <w:sz w:val="20"/>
            <w:lang w:val="pl-PL"/>
          </w:rPr>
          <w:t>przeciwko Serbii</w:t>
        </w:r>
      </w:hyperlink>
      <w:r w:rsidRPr="00FD3298">
        <w:rPr>
          <w:sz w:val="20"/>
          <w:lang w:val="pl-PL"/>
        </w:rPr>
        <w:t>, 2012</w:t>
      </w:r>
      <w:r w:rsidR="00820EB7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121). Natomiast jeśli skarga dotyczy publicznych oświadczeń złożonych przez urzędników poza procesem, bardziej odpowiedni może być środek cywilnoprawny, taki jak roszczenie o zniesławienie (</w:t>
      </w:r>
      <w:hyperlink r:id="rId25">
        <w:r w:rsidRPr="00FD3298">
          <w:rPr>
            <w:i/>
            <w:color w:val="0072BC"/>
            <w:sz w:val="20"/>
            <w:lang w:val="pl-PL"/>
          </w:rPr>
          <w:t xml:space="preserve">Lakatoš i </w:t>
        </w:r>
        <w:r w:rsidR="00924976" w:rsidRPr="00FD3298">
          <w:rPr>
            <w:i/>
            <w:color w:val="0072BC"/>
            <w:sz w:val="20"/>
            <w:lang w:val="pl-PL"/>
          </w:rPr>
          <w:t>I</w:t>
        </w:r>
        <w:r w:rsidRPr="00FD3298">
          <w:rPr>
            <w:i/>
            <w:color w:val="0072BC"/>
            <w:sz w:val="20"/>
            <w:lang w:val="pl-PL"/>
          </w:rPr>
          <w:t>nni przeciwko Serbii</w:t>
        </w:r>
      </w:hyperlink>
      <w:r w:rsidRPr="00FD3298">
        <w:rPr>
          <w:sz w:val="20"/>
          <w:lang w:val="pl-PL"/>
        </w:rPr>
        <w:t>, 2014</w:t>
      </w:r>
      <w:r w:rsidR="000E71CD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113; </w:t>
      </w:r>
      <w:hyperlink r:id="rId26">
        <w:r w:rsidR="008E3801" w:rsidRPr="00FD3298">
          <w:rPr>
            <w:i/>
            <w:color w:val="0072BC"/>
            <w:sz w:val="20"/>
            <w:lang w:val="pl-PL"/>
          </w:rPr>
          <w:t>Okropiridze przeciwko Gruzji</w:t>
        </w:r>
      </w:hyperlink>
      <w:r w:rsidRPr="00FD3298">
        <w:rPr>
          <w:sz w:val="20"/>
          <w:lang w:val="pl-PL"/>
        </w:rPr>
        <w:t>, 2023</w:t>
      </w:r>
      <w:r w:rsidR="000E71CD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114; </w:t>
      </w:r>
      <w:hyperlink r:id="rId27">
        <w:r w:rsidR="008E3801" w:rsidRPr="00FD3298">
          <w:rPr>
            <w:i/>
            <w:color w:val="0072BC"/>
            <w:sz w:val="20"/>
            <w:lang w:val="pl-PL"/>
          </w:rPr>
          <w:t>Narbutas przeciwko Litwie</w:t>
        </w:r>
      </w:hyperlink>
      <w:r w:rsidRPr="00FD3298">
        <w:rPr>
          <w:sz w:val="20"/>
          <w:lang w:val="pl-PL"/>
        </w:rPr>
        <w:t>, 2023</w:t>
      </w:r>
      <w:r w:rsidR="000E71CD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211);</w:t>
      </w:r>
    </w:p>
    <w:p w14:paraId="45B803D0" w14:textId="77777777" w:rsidR="008E3801" w:rsidRPr="00FD3298" w:rsidRDefault="00000000" w:rsidP="00FD3298">
      <w:pPr>
        <w:pStyle w:val="Akapitzlist"/>
        <w:numPr>
          <w:ilvl w:val="0"/>
          <w:numId w:val="3"/>
        </w:numPr>
        <w:tabs>
          <w:tab w:val="left" w:pos="1113"/>
        </w:tabs>
        <w:spacing w:before="120" w:after="100" w:afterAutospacing="1"/>
        <w:ind w:left="732" w:right="726" w:firstLine="0"/>
        <w:rPr>
          <w:lang w:val="pl-PL"/>
        </w:rPr>
      </w:pPr>
      <w:r w:rsidRPr="00FD3298">
        <w:rPr>
          <w:sz w:val="20"/>
          <w:lang w:val="pl-PL"/>
        </w:rPr>
        <w:t xml:space="preserve">dokładny charakter skargi skarżącego, a mianowicie, czy powołując się na domniemanie niewinności, skarżący skarży się przede wszystkim na (a) naruszenie rzetelnego procesu </w:t>
      </w:r>
      <w:r w:rsidRPr="00FD3298">
        <w:rPr>
          <w:i/>
          <w:sz w:val="20"/>
          <w:lang w:val="pl-PL"/>
        </w:rPr>
        <w:t xml:space="preserve">lub </w:t>
      </w:r>
      <w:r w:rsidRPr="00FD3298">
        <w:rPr>
          <w:sz w:val="20"/>
          <w:lang w:val="pl-PL"/>
        </w:rPr>
        <w:t>(b) atak na jego "reputację" przez kwestionowane oświadczenia.</w:t>
      </w:r>
    </w:p>
    <w:p w14:paraId="3F771DE7" w14:textId="3806003D" w:rsidR="008E3801" w:rsidRPr="00FD3298" w:rsidRDefault="00000000" w:rsidP="00FD3298">
      <w:pPr>
        <w:ind w:left="732" w:right="737"/>
        <w:jc w:val="both"/>
        <w:rPr>
          <w:lang w:val="pl-PL"/>
        </w:rPr>
      </w:pPr>
      <w:r w:rsidRPr="00FD3298">
        <w:rPr>
          <w:sz w:val="20"/>
          <w:lang w:val="pl-PL"/>
        </w:rPr>
        <w:t xml:space="preserve">To ostatnie rozróżnienie jest dobrze zilustrowane poprzez porównanie spraw </w:t>
      </w:r>
      <w:hyperlink r:id="rId28">
        <w:r w:rsidR="008E3801" w:rsidRPr="00FD3298">
          <w:rPr>
            <w:i/>
            <w:color w:val="0072BC"/>
            <w:sz w:val="20"/>
            <w:lang w:val="pl-PL"/>
          </w:rPr>
          <w:t>Mamaladze przeciwko Gruzji</w:t>
        </w:r>
      </w:hyperlink>
      <w:r w:rsidRPr="00FD3298">
        <w:rPr>
          <w:sz w:val="20"/>
          <w:lang w:val="pl-PL"/>
        </w:rPr>
        <w:t>, 2022</w:t>
      </w:r>
      <w:r w:rsidR="00820EB7" w:rsidRPr="00FD3298">
        <w:rPr>
          <w:sz w:val="20"/>
          <w:lang w:val="pl-PL"/>
        </w:rPr>
        <w:t xml:space="preserve"> r.</w:t>
      </w:r>
      <w:r w:rsidR="00231EEF" w:rsidRPr="00FD3298">
        <w:rPr>
          <w:spacing w:val="-5"/>
          <w:sz w:val="20"/>
          <w:lang w:val="pl-PL"/>
        </w:rPr>
        <w:t xml:space="preserve"> oraz </w:t>
      </w:r>
      <w:hyperlink r:id="rId29">
        <w:r w:rsidR="00231EEF" w:rsidRPr="00FD3298">
          <w:rPr>
            <w:i/>
            <w:color w:val="0072BC"/>
            <w:sz w:val="20"/>
            <w:lang w:val="pl-PL"/>
          </w:rPr>
          <w:t>Okropiridze przeciwko Gruzji</w:t>
        </w:r>
      </w:hyperlink>
      <w:r w:rsidR="00231EEF" w:rsidRPr="00FD3298">
        <w:rPr>
          <w:sz w:val="20"/>
          <w:lang w:val="pl-PL"/>
        </w:rPr>
        <w:t xml:space="preserve">, </w:t>
      </w:r>
      <w:r w:rsidR="00231EEF" w:rsidRPr="00FD3298">
        <w:rPr>
          <w:spacing w:val="-2"/>
          <w:sz w:val="20"/>
          <w:lang w:val="pl-PL"/>
        </w:rPr>
        <w:t>2023 r.</w:t>
      </w:r>
    </w:p>
    <w:p w14:paraId="6BAB2A8E" w14:textId="68909AA7" w:rsidR="008E3801" w:rsidRPr="00FD3298" w:rsidRDefault="00000000">
      <w:pPr>
        <w:pStyle w:val="Tekstpodstawowy"/>
        <w:ind w:right="728"/>
        <w:rPr>
          <w:lang w:val="pl-PL"/>
        </w:rPr>
      </w:pPr>
      <w:r w:rsidRPr="00FD3298">
        <w:rPr>
          <w:sz w:val="20"/>
          <w:lang w:val="pl-PL"/>
        </w:rPr>
        <w:t xml:space="preserve">W sprawie </w:t>
      </w:r>
      <w:hyperlink r:id="rId30">
        <w:r w:rsidR="008E3801" w:rsidRPr="00FD3298">
          <w:rPr>
            <w:i/>
            <w:color w:val="0072BC"/>
            <w:sz w:val="20"/>
            <w:lang w:val="pl-PL"/>
          </w:rPr>
          <w:t>Mamaladze przeciwko Gruzji</w:t>
        </w:r>
      </w:hyperlink>
      <w:r w:rsidRPr="00FD3298">
        <w:rPr>
          <w:sz w:val="20"/>
          <w:lang w:val="pl-PL"/>
        </w:rPr>
        <w:t>, 2022</w:t>
      </w:r>
      <w:r w:rsidR="00B3180C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62-67, Trybunał stwierdził, że skarga skarżącego na poziomie krajowym dotycząca domniemania niewinności została przede wszystkim sformułowana jako ściśle związana z domniemanym naruszeniem zasady jawności i działaniem obowiązku nieujawniania informacji w ramach prowadzonego przeciwko niemu postępowania karnego. W takich okolicznościach, z domniemaniem niewinności postrzeganym jako gwarancja proceduralna w kontekście samego procesu karnego, Trybunał uznał za rozsądne, aby skarżący kontynuował sprawę w ramach postępowania karnego bez korzystania z innego środka odwoławczego. Natomiast </w:t>
      </w:r>
      <w:hyperlink r:id="rId31">
        <w:r w:rsidR="008E3801" w:rsidRPr="00FD3298">
          <w:rPr>
            <w:i/>
            <w:color w:val="0072BC"/>
            <w:sz w:val="20"/>
            <w:lang w:val="pl-PL"/>
          </w:rPr>
          <w:t>w sprawie Okropiridze przeciwko Gruzji</w:t>
        </w:r>
      </w:hyperlink>
      <w:r w:rsidRPr="00FD3298">
        <w:rPr>
          <w:sz w:val="20"/>
          <w:lang w:val="pl-PL"/>
        </w:rPr>
        <w:t>, 2023</w:t>
      </w:r>
      <w:r w:rsidR="00ED7E5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114, kwestiami leżącymi u podstaw skargi skarżącego były oświadczenia złożone przez funkcjonariuszy publicznych niezależnie od procesu oraz nagranie wideo z jego aresztowania. Trybunał uznał, że postępowanie karne przeciwko skarżącemu nie mogło, co do zasady, stanowić odpowiedniego forum w odniesieniu do tych kwestii, ponieważ sędzia procesowy nie był właściwy</w:t>
      </w:r>
      <w:r w:rsidR="00231EEF" w:rsidRPr="00FD3298">
        <w:rPr>
          <w:sz w:val="20"/>
          <w:lang w:val="pl-PL"/>
        </w:rPr>
        <w:t>m</w:t>
      </w:r>
      <w:r w:rsidRPr="00FD3298">
        <w:rPr>
          <w:sz w:val="20"/>
          <w:lang w:val="pl-PL"/>
        </w:rPr>
        <w:t xml:space="preserve"> do rozpatrzenia skargi skarżącego, nałożenia sankcji na zainteresowanych urzędników lub zasądzenia odszkodowania. Środek cywilny za zniesławienie był dostępny, ale skarżący </w:t>
      </w:r>
      <w:r w:rsidR="00231EEF" w:rsidRPr="00FD3298">
        <w:rPr>
          <w:sz w:val="20"/>
          <w:lang w:val="pl-PL"/>
        </w:rPr>
        <w:t xml:space="preserve">z niego nie </w:t>
      </w:r>
      <w:r w:rsidRPr="00FD3298">
        <w:rPr>
          <w:sz w:val="20"/>
          <w:lang w:val="pl-PL"/>
        </w:rPr>
        <w:t>skorzystał.</w:t>
      </w:r>
    </w:p>
    <w:p w14:paraId="208C85AB" w14:textId="77777777" w:rsidR="008E3801" w:rsidRPr="00FD3298" w:rsidRDefault="008E3801">
      <w:pPr>
        <w:pStyle w:val="Tekstpodstawowy"/>
        <w:spacing w:before="12"/>
        <w:ind w:left="0"/>
        <w:jc w:val="left"/>
        <w:rPr>
          <w:lang w:val="pl-PL"/>
        </w:rPr>
      </w:pPr>
    </w:p>
    <w:p w14:paraId="49F0C32B" w14:textId="77777777" w:rsidR="008E3801" w:rsidRPr="00FD3298" w:rsidRDefault="00000000">
      <w:pPr>
        <w:pStyle w:val="Nagwek3"/>
        <w:rPr>
          <w:lang w:val="pl-PL"/>
        </w:rPr>
      </w:pPr>
      <w:r w:rsidRPr="00FD3298">
        <w:rPr>
          <w:color w:val="2C2C2C"/>
          <w:spacing w:val="-2"/>
          <w:sz w:val="22"/>
          <w:lang w:val="pl-PL"/>
        </w:rPr>
        <w:t xml:space="preserve">Środki ochrony prawnej </w:t>
      </w:r>
      <w:r w:rsidRPr="00FD3298">
        <w:rPr>
          <w:color w:val="2C2C2C"/>
          <w:sz w:val="22"/>
          <w:lang w:val="pl-PL"/>
        </w:rPr>
        <w:t>w sprawach karnych</w:t>
      </w:r>
    </w:p>
    <w:p w14:paraId="347C1E7D" w14:textId="2FBE5147" w:rsidR="008E3801" w:rsidRPr="00FD3298" w:rsidRDefault="00000000">
      <w:pPr>
        <w:pStyle w:val="Tekstpodstawowy"/>
        <w:ind w:right="729"/>
        <w:rPr>
          <w:lang w:val="pl-PL"/>
        </w:rPr>
      </w:pPr>
      <w:r w:rsidRPr="00FD3298">
        <w:rPr>
          <w:sz w:val="20"/>
          <w:lang w:val="pl-PL"/>
        </w:rPr>
        <w:t>Środek odwoławczy w sprawach karnych, jako skarga wniesiona w odpowiednim postępowaniu karnym przeciwko skarżącemu, może być skuteczny, gdy skarga skarżącego dotycząca domniemania niewinności jest ściśle związana z domniemanym naruszeniem gwarancji proceduralnych w kontekście samego procesu karnego (</w:t>
      </w:r>
      <w:hyperlink r:id="rId32">
        <w:r w:rsidR="008E3801" w:rsidRPr="00FD3298">
          <w:rPr>
            <w:i/>
            <w:color w:val="0072BC"/>
            <w:sz w:val="20"/>
            <w:lang w:val="pl-PL"/>
          </w:rPr>
          <w:t>Mamaladze przeciwko Gruzji</w:t>
        </w:r>
      </w:hyperlink>
      <w:r w:rsidRPr="00FD3298">
        <w:rPr>
          <w:sz w:val="20"/>
          <w:lang w:val="pl-PL"/>
        </w:rPr>
        <w:t>, 2022</w:t>
      </w:r>
      <w:r w:rsidR="00ED7E5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§§ 62-67).</w:t>
      </w:r>
    </w:p>
    <w:p w14:paraId="18AA8165" w14:textId="5BFB2D41" w:rsidR="008E3801" w:rsidRPr="00FD3298" w:rsidRDefault="00000000">
      <w:pPr>
        <w:pStyle w:val="Tekstpodstawowy"/>
        <w:ind w:right="728"/>
        <w:rPr>
          <w:lang w:val="pl-PL"/>
        </w:rPr>
      </w:pPr>
      <w:r w:rsidRPr="00FD3298">
        <w:rPr>
          <w:sz w:val="20"/>
          <w:lang w:val="pl-PL"/>
        </w:rPr>
        <w:t xml:space="preserve">W sprawach </w:t>
      </w:r>
      <w:hyperlink r:id="rId33">
        <w:r w:rsidR="008E3801" w:rsidRPr="00FD3298">
          <w:rPr>
            <w:i/>
            <w:color w:val="0072BC"/>
            <w:sz w:val="20"/>
            <w:lang w:val="pl-PL"/>
          </w:rPr>
          <w:t>Matijašević przeciwko Serbii</w:t>
        </w:r>
      </w:hyperlink>
      <w:r w:rsidRPr="00FD3298">
        <w:rPr>
          <w:sz w:val="20"/>
          <w:lang w:val="pl-PL"/>
        </w:rPr>
        <w:t>, 2006</w:t>
      </w:r>
      <w:r w:rsidR="00ED7E5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32 i 33, oraz </w:t>
      </w:r>
      <w:hyperlink r:id="rId34">
        <w:r w:rsidR="008E3801" w:rsidRPr="00FD3298">
          <w:rPr>
            <w:i/>
            <w:color w:val="0072BC"/>
            <w:sz w:val="20"/>
            <w:lang w:val="pl-PL"/>
          </w:rPr>
          <w:t>Hajnal przeciwko Serbii</w:t>
        </w:r>
      </w:hyperlink>
      <w:r w:rsidRPr="00FD3298">
        <w:rPr>
          <w:sz w:val="20"/>
          <w:lang w:val="pl-PL"/>
        </w:rPr>
        <w:t>, 2012</w:t>
      </w:r>
      <w:r w:rsidR="00ED7E5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121, skarżący skarżyli się, że domniemanie niewinności zostało naruszone z powodu języka używanego przez same sądy karne, a Trybunał uznał, że skarżący, skarżąc się na to w kontekście karnym, nie mogli dodatkowo oczekiwać, że skorzystają z cywilnego środka odwoławczego (którego skuteczność była również niepewna).</w:t>
      </w:r>
    </w:p>
    <w:p w14:paraId="17FB7D29" w14:textId="1FDAFEA5" w:rsidR="008E3801" w:rsidRPr="00FD3298" w:rsidRDefault="00000000" w:rsidP="00FD3298">
      <w:pPr>
        <w:pStyle w:val="Tekstpodstawowy"/>
        <w:spacing w:after="120"/>
        <w:ind w:right="727"/>
        <w:rPr>
          <w:lang w:val="pl-PL"/>
        </w:rPr>
      </w:pPr>
      <w:r w:rsidRPr="00FD3298">
        <w:rPr>
          <w:sz w:val="20"/>
          <w:lang w:val="pl-PL"/>
        </w:rPr>
        <w:t>Sąd wyższej instancji może skorygować kwestionowane oświadczenia wydane przez sądy niższej instancji, poprawiając ich brzmienie, tak aby wykluczyć wszelkie szkodliwe sugestie dotyczące winy (</w:t>
      </w:r>
      <w:hyperlink r:id="rId35">
        <w:r w:rsidRPr="00FD3298">
          <w:rPr>
            <w:i/>
            <w:color w:val="0072BC"/>
            <w:sz w:val="20"/>
            <w:lang w:val="pl-PL"/>
          </w:rPr>
          <w:t>Benghezal p</w:t>
        </w:r>
        <w:r w:rsidR="00ED7E52" w:rsidRPr="00FD3298">
          <w:rPr>
            <w:i/>
            <w:color w:val="0072BC"/>
            <w:sz w:val="20"/>
            <w:lang w:val="pl-PL"/>
          </w:rPr>
          <w:t>rzeciwko</w:t>
        </w:r>
        <w:r w:rsidRPr="00FD3298">
          <w:rPr>
            <w:i/>
            <w:color w:val="0072BC"/>
            <w:sz w:val="20"/>
            <w:lang w:val="pl-PL"/>
          </w:rPr>
          <w:t xml:space="preserve"> Francji</w:t>
        </w:r>
      </w:hyperlink>
      <w:r w:rsidRPr="00FD3298">
        <w:rPr>
          <w:sz w:val="20"/>
          <w:lang w:val="pl-PL"/>
        </w:rPr>
        <w:t>, 2022</w:t>
      </w:r>
      <w:r w:rsidR="00ED7E5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36, gdzie korekta dokonana przez sąd wyższej instancji doprowadziła do stwierdzenia braku naruszenia art. 6 </w:t>
      </w:r>
      <w:r w:rsidR="008D10A2">
        <w:rPr>
          <w:sz w:val="20"/>
          <w:lang w:val="pl-PL"/>
        </w:rPr>
        <w:t>ust.</w:t>
      </w:r>
      <w:r w:rsidRPr="00FD3298">
        <w:rPr>
          <w:sz w:val="20"/>
          <w:lang w:val="pl-PL"/>
        </w:rPr>
        <w:t xml:space="preserve"> 2; </w:t>
      </w:r>
      <w:hyperlink r:id="rId36">
        <w:r w:rsidR="008E3801" w:rsidRPr="00FD3298">
          <w:rPr>
            <w:i/>
            <w:color w:val="0072BC"/>
            <w:sz w:val="20"/>
            <w:lang w:val="pl-PL"/>
          </w:rPr>
          <w:t>Grubnyk przeciwko Ukrainie</w:t>
        </w:r>
      </w:hyperlink>
      <w:r w:rsidRPr="00FD3298">
        <w:rPr>
          <w:sz w:val="20"/>
          <w:lang w:val="pl-PL"/>
        </w:rPr>
        <w:t>, 2020</w:t>
      </w:r>
      <w:r w:rsidR="00ED7E5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</w:t>
      </w:r>
      <w:r w:rsidR="00ED7E52" w:rsidRPr="00FD3298">
        <w:rPr>
          <w:sz w:val="20"/>
          <w:lang w:val="pl-PL"/>
        </w:rPr>
        <w:t xml:space="preserve"> § 146, gdzie brak poprawienia problematycznego wyrażenia doprowadził </w:t>
      </w:r>
      <w:r w:rsidR="00ED7E52" w:rsidRPr="00FD3298">
        <w:rPr>
          <w:spacing w:val="-2"/>
          <w:sz w:val="20"/>
          <w:lang w:val="pl-PL"/>
        </w:rPr>
        <w:t>do naruszenia).</w:t>
      </w:r>
    </w:p>
    <w:p w14:paraId="25FD547B" w14:textId="196FE0E5" w:rsidR="008E3801" w:rsidRPr="00FD3298" w:rsidRDefault="00000000" w:rsidP="00FD3298">
      <w:pPr>
        <w:ind w:left="732" w:right="680"/>
        <w:jc w:val="both"/>
        <w:rPr>
          <w:i/>
          <w:lang w:val="pl-PL"/>
        </w:rPr>
      </w:pPr>
      <w:r w:rsidRPr="00FD3298">
        <w:rPr>
          <w:sz w:val="20"/>
          <w:lang w:val="pl-PL"/>
        </w:rPr>
        <w:t xml:space="preserve">Jednakże apelacje i inne tego rodzaju środki odwoławcze w kontekście postępowania karnego przeciwko skarżącemu mogą nie być skutecznym środkiem odwoławczym, gdy zgodnie z prawem krajowym podstawy do skorzystania z takich środków są ograniczone do błędów faktycznych i prawnych, a także błędów proceduralnych dotyczących wyłącznie </w:t>
      </w:r>
      <w:r w:rsidRPr="00FD3298">
        <w:rPr>
          <w:i/>
          <w:sz w:val="20"/>
          <w:lang w:val="pl-PL"/>
        </w:rPr>
        <w:t xml:space="preserve">istoty </w:t>
      </w:r>
      <w:r w:rsidRPr="00FD3298">
        <w:rPr>
          <w:sz w:val="20"/>
          <w:lang w:val="pl-PL"/>
        </w:rPr>
        <w:t>zarzutów karnych, podczas gdy skarga skarżącego do Trybunału dotyczy krzywdzących stwierdzeń wyrażających opinię o winie (</w:t>
      </w:r>
      <w:hyperlink r:id="rId37">
        <w:r w:rsidRPr="00FD3298">
          <w:rPr>
            <w:i/>
            <w:color w:val="0072BC"/>
            <w:sz w:val="20"/>
            <w:lang w:val="pl-PL"/>
          </w:rPr>
          <w:t>Peša przeciwko Chorwacji</w:t>
        </w:r>
      </w:hyperlink>
      <w:r w:rsidRPr="00FD3298">
        <w:rPr>
          <w:sz w:val="20"/>
          <w:lang w:val="pl-PL"/>
        </w:rPr>
        <w:t>, 2010</w:t>
      </w:r>
      <w:r w:rsidR="00ED7E52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132; </w:t>
      </w:r>
      <w:hyperlink r:id="rId38">
        <w:r w:rsidR="008E3801" w:rsidRPr="00FD3298">
          <w:rPr>
            <w:i/>
            <w:color w:val="0072BC"/>
            <w:sz w:val="20"/>
            <w:lang w:val="pl-PL"/>
          </w:rPr>
          <w:t>Kasatkin</w:t>
        </w:r>
      </w:hyperlink>
      <w:hyperlink r:id="rId39">
        <w:r w:rsidR="00ED7E52" w:rsidRPr="00FD3298">
          <w:rPr>
            <w:i/>
            <w:color w:val="0072BC"/>
            <w:sz w:val="20"/>
            <w:lang w:val="pl-PL"/>
          </w:rPr>
          <w:t xml:space="preserve"> przeciwko Rosji</w:t>
        </w:r>
      </w:hyperlink>
      <w:r w:rsidR="00ED7E52" w:rsidRPr="00FD3298">
        <w:rPr>
          <w:sz w:val="20"/>
          <w:lang w:val="pl-PL"/>
        </w:rPr>
        <w:t xml:space="preserve"> (dec.), 2021 r., §§ 20-24</w:t>
      </w:r>
      <w:r w:rsidR="00ED7E52" w:rsidRPr="00FD3298">
        <w:rPr>
          <w:spacing w:val="-4"/>
          <w:sz w:val="20"/>
          <w:lang w:val="pl-PL"/>
        </w:rPr>
        <w:t>).</w:t>
      </w:r>
    </w:p>
    <w:p w14:paraId="1BF47D96" w14:textId="77777777" w:rsidR="008E3801" w:rsidRPr="00FD3298" w:rsidRDefault="008E3801">
      <w:pPr>
        <w:jc w:val="both"/>
        <w:rPr>
          <w:lang w:val="pl-PL"/>
        </w:rPr>
        <w:sectPr w:rsidR="008E3801" w:rsidRPr="00FD3298">
          <w:headerReference w:type="default" r:id="rId40"/>
          <w:footerReference w:type="default" r:id="rId41"/>
          <w:pgSz w:w="11910" w:h="16840"/>
          <w:pgMar w:top="1160" w:right="708" w:bottom="860" w:left="708" w:header="759" w:footer="677" w:gutter="0"/>
          <w:pgNumType w:start="2"/>
          <w:cols w:space="708"/>
        </w:sectPr>
      </w:pPr>
    </w:p>
    <w:p w14:paraId="0D829E2B" w14:textId="77777777" w:rsidR="008E3801" w:rsidRPr="00FD3298" w:rsidRDefault="008E3801">
      <w:pPr>
        <w:pStyle w:val="Tekstpodstawowy"/>
        <w:spacing w:before="161"/>
        <w:ind w:left="0"/>
        <w:jc w:val="left"/>
        <w:rPr>
          <w:lang w:val="pl-PL"/>
        </w:rPr>
      </w:pPr>
    </w:p>
    <w:p w14:paraId="66FA845A" w14:textId="45EBED72" w:rsidR="008E3801" w:rsidRPr="00FD3298" w:rsidRDefault="00000000" w:rsidP="00A07774">
      <w:pPr>
        <w:pStyle w:val="Tekstpodstawowy"/>
        <w:tabs>
          <w:tab w:val="left" w:pos="8769"/>
        </w:tabs>
        <w:spacing w:before="0"/>
        <w:ind w:right="731"/>
        <w:rPr>
          <w:lang w:val="pl-PL"/>
        </w:rPr>
      </w:pPr>
      <w:r w:rsidRPr="00FD3298">
        <w:rPr>
          <w:sz w:val="20"/>
          <w:lang w:val="pl-PL"/>
        </w:rPr>
        <w:t>Podnoszenie kwestii domniemania niewinności przy kwestionowaniu zgodności z prawem konkretnych środków podjętych przeciwko skarżącemu w kontekście postępowania karnego (takich jak zajęcie mienia), w przypadku gdy środki te nie są związane z krzywdzącymi oświadczeniami o winie złożonymi przez urzędników poza postępowaniem karnym, może nie być skutecznym środkiem odwoławczym (</w:t>
      </w:r>
      <w:hyperlink r:id="rId42">
        <w:r w:rsidRPr="00FD3298">
          <w:rPr>
            <w:i/>
            <w:color w:val="0072BC"/>
            <w:sz w:val="20"/>
            <w:lang w:val="pl-PL"/>
          </w:rPr>
          <w:t>Narbutas przeciwko Litwie</w:t>
        </w:r>
      </w:hyperlink>
      <w:r w:rsidRPr="00FD3298">
        <w:rPr>
          <w:sz w:val="20"/>
          <w:lang w:val="pl-PL"/>
        </w:rPr>
        <w:t>, 2023</w:t>
      </w:r>
      <w:r w:rsidR="00B3180C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</w:t>
      </w:r>
      <w:r w:rsidR="006A0E19" w:rsidRPr="00FD3298">
        <w:rPr>
          <w:sz w:val="20"/>
          <w:lang w:val="pl-PL"/>
        </w:rPr>
        <w:t xml:space="preserve"> § </w:t>
      </w:r>
      <w:r w:rsidR="006A0E19" w:rsidRPr="00FD3298">
        <w:rPr>
          <w:spacing w:val="-2"/>
          <w:sz w:val="20"/>
          <w:lang w:val="pl-PL"/>
        </w:rPr>
        <w:t>213).</w:t>
      </w:r>
    </w:p>
    <w:p w14:paraId="2922FE58" w14:textId="77777777" w:rsidR="008E3801" w:rsidRPr="00FD3298" w:rsidRDefault="008E3801" w:rsidP="00A07774">
      <w:pPr>
        <w:pStyle w:val="Tekstpodstawowy"/>
        <w:tabs>
          <w:tab w:val="left" w:pos="8769"/>
        </w:tabs>
        <w:spacing w:before="11"/>
        <w:ind w:left="0"/>
        <w:jc w:val="left"/>
        <w:rPr>
          <w:lang w:val="pl-PL"/>
        </w:rPr>
      </w:pPr>
    </w:p>
    <w:p w14:paraId="3E8448D7" w14:textId="77777777" w:rsidR="008E3801" w:rsidRPr="00FD3298" w:rsidRDefault="00000000" w:rsidP="00A07774">
      <w:pPr>
        <w:pStyle w:val="Nagwek3"/>
        <w:tabs>
          <w:tab w:val="left" w:pos="8769"/>
        </w:tabs>
        <w:spacing w:before="1"/>
        <w:rPr>
          <w:lang w:val="pl-PL"/>
        </w:rPr>
      </w:pPr>
      <w:r w:rsidRPr="00FD3298">
        <w:rPr>
          <w:color w:val="2C2C2C"/>
          <w:sz w:val="22"/>
          <w:lang w:val="pl-PL"/>
        </w:rPr>
        <w:t xml:space="preserve">Cywilnoprawne </w:t>
      </w:r>
      <w:r w:rsidRPr="00FD3298">
        <w:rPr>
          <w:color w:val="2C2C2C"/>
          <w:spacing w:val="-2"/>
          <w:sz w:val="22"/>
          <w:lang w:val="pl-PL"/>
        </w:rPr>
        <w:t>środki zaradcze</w:t>
      </w:r>
    </w:p>
    <w:p w14:paraId="73EB35E5" w14:textId="2B5C99E8" w:rsidR="008E3801" w:rsidRPr="00FD3298" w:rsidRDefault="00000000" w:rsidP="00A07774">
      <w:pPr>
        <w:pStyle w:val="Tekstpodstawowy"/>
        <w:tabs>
          <w:tab w:val="left" w:pos="8769"/>
        </w:tabs>
        <w:ind w:right="730"/>
        <w:rPr>
          <w:lang w:val="pl-PL"/>
        </w:rPr>
      </w:pPr>
      <w:r w:rsidRPr="00FD3298">
        <w:rPr>
          <w:sz w:val="20"/>
          <w:lang w:val="pl-PL"/>
        </w:rPr>
        <w:t xml:space="preserve">Środek cywilnoprawny (taki jak </w:t>
      </w:r>
      <w:r w:rsidR="00A33199">
        <w:rPr>
          <w:sz w:val="20"/>
          <w:lang w:val="pl-PL"/>
        </w:rPr>
        <w:t>powództo</w:t>
      </w:r>
      <w:r w:rsidRPr="00FD3298">
        <w:rPr>
          <w:sz w:val="20"/>
          <w:lang w:val="pl-PL"/>
        </w:rPr>
        <w:t xml:space="preserve"> cywilne o zniesławienie) jest co do zasady skutecznym sposobem rozpatrzenia skargi dotyczącej rzekomo krzywdzących wypowiedzi urzędników publicznych w odniesieniu do toczącego się postępowania karnego, samodzielnie lub w połączeniu ze środkiem karnym, z zastrzeżeniem wyżej wspomnianego rozróżnienia dotyczącego charakteru skargi (</w:t>
      </w:r>
      <w:hyperlink r:id="rId43">
        <w:r w:rsidR="008E3801" w:rsidRPr="00FD3298">
          <w:rPr>
            <w:i/>
            <w:color w:val="0072BC"/>
            <w:sz w:val="20"/>
            <w:lang w:val="pl-PL"/>
          </w:rPr>
          <w:t>Mamaladze przeciwko Gruzji</w:t>
        </w:r>
      </w:hyperlink>
      <w:r w:rsidRPr="00FD3298">
        <w:rPr>
          <w:sz w:val="20"/>
          <w:lang w:val="pl-PL"/>
        </w:rPr>
        <w:t>, 2022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63).</w:t>
      </w:r>
    </w:p>
    <w:p w14:paraId="217F9192" w14:textId="29599371" w:rsidR="008E3801" w:rsidRPr="00FD3298" w:rsidRDefault="00000000" w:rsidP="00A07774">
      <w:pPr>
        <w:pStyle w:val="Tekstpodstawowy"/>
        <w:tabs>
          <w:tab w:val="left" w:pos="8628"/>
        </w:tabs>
        <w:ind w:right="569"/>
        <w:rPr>
          <w:lang w:val="pl-PL"/>
        </w:rPr>
      </w:pPr>
      <w:r w:rsidRPr="00FD3298">
        <w:rPr>
          <w:sz w:val="20"/>
          <w:lang w:val="pl-PL"/>
        </w:rPr>
        <w:t>W niektórych krajowych systemach prawnych samo ustawodawstwo uznaje domniemanie niewinności za prawo, które może stanowić podstawę powództwa cywilnego w przypadku jego naruszenia (</w:t>
      </w:r>
      <w:hyperlink r:id="rId44">
        <w:r w:rsidRPr="00FD3298">
          <w:rPr>
            <w:i/>
            <w:color w:val="0072BC"/>
            <w:sz w:val="20"/>
            <w:lang w:val="pl-PL"/>
          </w:rPr>
          <w:t>Marchiani przeciwko Francji</w:t>
        </w:r>
      </w:hyperlink>
      <w:r w:rsidRPr="00FD3298">
        <w:rPr>
          <w:sz w:val="20"/>
          <w:lang w:val="pl-PL"/>
        </w:rPr>
        <w:t xml:space="preserve"> (dec.), 2008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), podczas gdy w innych orzecznictwo krajowe zezwala osobom fizycznym na wnoszenie roszczeń w celu ochrony domniemania </w:t>
      </w:r>
      <w:r w:rsidRPr="00FD3298">
        <w:rPr>
          <w:spacing w:val="-12"/>
          <w:sz w:val="20"/>
          <w:lang w:val="pl-PL"/>
        </w:rPr>
        <w:t xml:space="preserve">niewinności </w:t>
      </w:r>
      <w:r w:rsidRPr="00FD3298">
        <w:rPr>
          <w:sz w:val="20"/>
          <w:lang w:val="pl-PL"/>
        </w:rPr>
        <w:t>w ramach powództwa cywilnego o ochronę takich praw jak nietykalność osobista, dobre imię i reputacja (</w:t>
      </w:r>
      <w:hyperlink r:id="rId45">
        <w:r w:rsidRPr="00FD3298">
          <w:rPr>
            <w:i/>
            <w:color w:val="0072BC"/>
            <w:sz w:val="20"/>
            <w:lang w:val="pl-PL"/>
          </w:rPr>
          <w:t xml:space="preserve">Babjak i </w:t>
        </w:r>
        <w:r w:rsidR="009307ED" w:rsidRPr="00FD3298">
          <w:rPr>
            <w:i/>
            <w:color w:val="0072BC"/>
            <w:sz w:val="20"/>
            <w:lang w:val="pl-PL"/>
          </w:rPr>
          <w:t>I</w:t>
        </w:r>
        <w:r w:rsidRPr="00FD3298">
          <w:rPr>
            <w:i/>
            <w:color w:val="0072BC"/>
            <w:sz w:val="20"/>
            <w:lang w:val="pl-PL"/>
          </w:rPr>
          <w:t>nni przeciwko Słowacji</w:t>
        </w:r>
      </w:hyperlink>
      <w:r w:rsidRPr="00FD3298">
        <w:rPr>
          <w:sz w:val="20"/>
          <w:lang w:val="pl-PL"/>
        </w:rPr>
        <w:t xml:space="preserve"> (dec.), 2004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; </w:t>
      </w:r>
      <w:hyperlink r:id="rId46">
        <w:r w:rsidR="008E3801" w:rsidRPr="00FD3298">
          <w:rPr>
            <w:i/>
            <w:color w:val="0072BC"/>
            <w:sz w:val="20"/>
            <w:lang w:val="pl-PL"/>
          </w:rPr>
          <w:t>Lakatoš i Inni przeciwko Serbii</w:t>
        </w:r>
      </w:hyperlink>
      <w:r w:rsidRPr="00FD3298">
        <w:rPr>
          <w:sz w:val="20"/>
          <w:lang w:val="pl-PL"/>
        </w:rPr>
        <w:t>, 2014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108) lub honor i godność (</w:t>
      </w:r>
      <w:hyperlink r:id="rId47">
        <w:r w:rsidRPr="00FD3298">
          <w:rPr>
            <w:i/>
            <w:color w:val="0072BC"/>
            <w:sz w:val="20"/>
            <w:lang w:val="pl-PL"/>
          </w:rPr>
          <w:t>Januškevičienė przeciwko Litwie</w:t>
        </w:r>
      </w:hyperlink>
      <w:r w:rsidRPr="00FD3298">
        <w:rPr>
          <w:sz w:val="20"/>
          <w:lang w:val="pl-PL"/>
        </w:rPr>
        <w:t>, 2019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§§ 43, 46, 60-62).</w:t>
      </w:r>
    </w:p>
    <w:p w14:paraId="36005FC9" w14:textId="25417E60" w:rsidR="008E3801" w:rsidRPr="00FD3298" w:rsidRDefault="00000000" w:rsidP="00A07774">
      <w:pPr>
        <w:pStyle w:val="Tekstpodstawowy"/>
        <w:tabs>
          <w:tab w:val="left" w:pos="8628"/>
        </w:tabs>
        <w:ind w:right="569"/>
        <w:rPr>
          <w:lang w:val="pl-PL"/>
        </w:rPr>
      </w:pPr>
      <w:r w:rsidRPr="00FD3298">
        <w:rPr>
          <w:sz w:val="20"/>
          <w:lang w:val="pl-PL"/>
        </w:rPr>
        <w:t xml:space="preserve">W przypadku, gdy Rząd utrzymuje istnienie skutecznego środka odwoławczego wynikającego z orzecznictwa krajowego, może nie być konieczne przedstawianie przykładów orzecznictwa w celu wykazania jego skuteczności dla skarżących korzystających z tego środka, pod warunkiem, że sądy rozpatrują </w:t>
      </w:r>
      <w:r w:rsidRPr="00FD3298">
        <w:rPr>
          <w:spacing w:val="-2"/>
          <w:sz w:val="20"/>
          <w:lang w:val="pl-PL"/>
        </w:rPr>
        <w:t xml:space="preserve">merytorycznie </w:t>
      </w:r>
      <w:r w:rsidRPr="00FD3298">
        <w:rPr>
          <w:sz w:val="20"/>
          <w:lang w:val="pl-PL"/>
        </w:rPr>
        <w:t xml:space="preserve">roszczenia cywilne oparte na domniemanym naruszeniu zasady domniemania niewinności. Jest to wyraz ugruntowanej zasady, zgodnie </w:t>
      </w:r>
      <w:r w:rsidRPr="00FD3298">
        <w:rPr>
          <w:spacing w:val="-2"/>
          <w:sz w:val="20"/>
          <w:lang w:val="pl-PL"/>
        </w:rPr>
        <w:t>z</w:t>
      </w:r>
      <w:r w:rsidRPr="00FD3298">
        <w:rPr>
          <w:sz w:val="20"/>
          <w:lang w:val="pl-PL"/>
        </w:rPr>
        <w:t xml:space="preserve"> którą skuteczność środka odwoławczego w rozumieniu Artykułu 13 nie zależy od pewności korzystnego rozstrzygnięcia dla skarżącego (</w:t>
      </w:r>
      <w:hyperlink r:id="rId48">
        <w:r w:rsidR="008E3801" w:rsidRPr="00FD3298">
          <w:rPr>
            <w:i/>
            <w:color w:val="0072BC"/>
            <w:sz w:val="20"/>
            <w:lang w:val="pl-PL"/>
          </w:rPr>
          <w:t>Kudła przeciwko Polsce</w:t>
        </w:r>
      </w:hyperlink>
      <w:r w:rsidRPr="00FD3298">
        <w:rPr>
          <w:sz w:val="20"/>
          <w:lang w:val="pl-PL"/>
        </w:rPr>
        <w:t xml:space="preserve"> [</w:t>
      </w:r>
      <w:r w:rsidR="00F24E84" w:rsidRPr="00FD3298">
        <w:rPr>
          <w:sz w:val="20"/>
          <w:lang w:val="pl-PL"/>
        </w:rPr>
        <w:t>WI</w:t>
      </w:r>
      <w:r w:rsidRPr="00FD3298">
        <w:rPr>
          <w:sz w:val="20"/>
          <w:lang w:val="pl-PL"/>
        </w:rPr>
        <w:t>], 2000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157).</w:t>
      </w:r>
    </w:p>
    <w:p w14:paraId="47678261" w14:textId="4274631B" w:rsidR="008E3801" w:rsidRPr="00FD3298" w:rsidRDefault="00000000" w:rsidP="00A33199">
      <w:pPr>
        <w:pStyle w:val="Tekstpodstawowy"/>
        <w:tabs>
          <w:tab w:val="left" w:pos="8628"/>
          <w:tab w:val="left" w:pos="9639"/>
        </w:tabs>
        <w:ind w:right="571"/>
        <w:rPr>
          <w:lang w:val="pl-PL"/>
        </w:rPr>
      </w:pPr>
      <w:r w:rsidRPr="00FD3298">
        <w:rPr>
          <w:sz w:val="20"/>
          <w:lang w:val="pl-PL"/>
        </w:rPr>
        <w:t xml:space="preserve">Na przykład w sprawie </w:t>
      </w:r>
      <w:hyperlink r:id="rId49">
        <w:r w:rsidR="008E3801" w:rsidRPr="00FD3298">
          <w:rPr>
            <w:i/>
            <w:color w:val="0072BC"/>
            <w:sz w:val="20"/>
            <w:lang w:val="pl-PL"/>
          </w:rPr>
          <w:t>Narbutas przeciwko Litwie</w:t>
        </w:r>
      </w:hyperlink>
      <w:r w:rsidRPr="00FD3298">
        <w:rPr>
          <w:sz w:val="20"/>
          <w:lang w:val="pl-PL"/>
        </w:rPr>
        <w:t>, 2023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214-16, Rząd przedstawił tylko dwa przykłady spraw krajowych, w których sądy rozpatrywały roszczenia cywilne wniesione przeciwko politykom w związku z ich publicznymi wypowiedziami, a sprawy te nadal toczyły się przed sądami krajowymi. Trybunał zauważył, że skarżący nie skomentował tych przykładów i nie przedstawił żadnych innych argumentów ani orzeczeń sądów krajowych wskazujących, że środek odwoławczy był oczywiście bezskuteczny. Skarżący nie wszczął żadnego postępowania, w którym można by zbadać skuteczność tego środka odwoławczego. Trybunał stwierdził, że nie do niego należy stwierdzenie </w:t>
      </w:r>
      <w:r w:rsidRPr="00FD3298">
        <w:rPr>
          <w:i/>
          <w:sz w:val="20"/>
          <w:lang w:val="pl-PL"/>
        </w:rPr>
        <w:t>in abstracto</w:t>
      </w:r>
      <w:r w:rsidRPr="00FD3298">
        <w:rPr>
          <w:sz w:val="20"/>
          <w:lang w:val="pl-PL"/>
        </w:rPr>
        <w:t xml:space="preserve">, że nie był on skuteczny i odrzucił jego skargę na podstawie art. 6 </w:t>
      </w:r>
      <w:r w:rsidR="00A33199">
        <w:rPr>
          <w:sz w:val="20"/>
          <w:lang w:val="pl-PL"/>
        </w:rPr>
        <w:t>ust.</w:t>
      </w:r>
      <w:r w:rsidRPr="00FD3298">
        <w:rPr>
          <w:sz w:val="20"/>
          <w:lang w:val="pl-PL"/>
        </w:rPr>
        <w:t xml:space="preserve"> 2 z powodu niewyczerpania krajowych środków odwoławczych.</w:t>
      </w:r>
    </w:p>
    <w:p w14:paraId="69018D57" w14:textId="77777777" w:rsidR="008E3801" w:rsidRPr="00FD3298" w:rsidRDefault="008E3801" w:rsidP="00A33199">
      <w:pPr>
        <w:pStyle w:val="Tekstpodstawowy"/>
        <w:tabs>
          <w:tab w:val="left" w:pos="8628"/>
        </w:tabs>
        <w:spacing w:before="11"/>
        <w:ind w:left="0"/>
        <w:jc w:val="left"/>
        <w:rPr>
          <w:lang w:val="pl-PL"/>
        </w:rPr>
      </w:pPr>
    </w:p>
    <w:p w14:paraId="7B983518" w14:textId="77777777" w:rsidR="008E3801" w:rsidRPr="00FD3298" w:rsidRDefault="00000000" w:rsidP="00A33199">
      <w:pPr>
        <w:pStyle w:val="Nagwek3"/>
        <w:tabs>
          <w:tab w:val="left" w:pos="8628"/>
        </w:tabs>
        <w:ind w:right="-566"/>
        <w:rPr>
          <w:lang w:val="pl-PL"/>
        </w:rPr>
      </w:pPr>
      <w:r w:rsidRPr="00FD3298">
        <w:rPr>
          <w:color w:val="2C2C2C"/>
          <w:sz w:val="22"/>
          <w:lang w:val="pl-PL"/>
        </w:rPr>
        <w:t xml:space="preserve">Wymogi skuteczności cywilnego </w:t>
      </w:r>
      <w:r w:rsidRPr="00FD3298">
        <w:rPr>
          <w:color w:val="2C2C2C"/>
          <w:spacing w:val="-2"/>
          <w:sz w:val="22"/>
          <w:lang w:val="pl-PL"/>
        </w:rPr>
        <w:t>środka odwoławczego</w:t>
      </w:r>
    </w:p>
    <w:p w14:paraId="4BB4BB0E" w14:textId="1B14B626" w:rsidR="00924976" w:rsidRPr="00FD3298" w:rsidRDefault="00000000" w:rsidP="00A33199">
      <w:pPr>
        <w:pStyle w:val="Tekstpodstawowy"/>
        <w:tabs>
          <w:tab w:val="left" w:pos="8628"/>
        </w:tabs>
        <w:spacing w:before="0"/>
        <w:ind w:right="568"/>
        <w:jc w:val="left"/>
        <w:rPr>
          <w:sz w:val="20"/>
          <w:lang w:val="pl-PL"/>
        </w:rPr>
      </w:pPr>
      <w:r w:rsidRPr="00FD3298">
        <w:rPr>
          <w:sz w:val="20"/>
          <w:lang w:val="pl-PL"/>
        </w:rPr>
        <w:t>Aby środek cywilny był skuteczny, musi być w stanie zapewnić, samodzielnie lub w połączeniu z</w:t>
      </w:r>
      <w:r w:rsidR="00A33199">
        <w:rPr>
          <w:sz w:val="20"/>
          <w:lang w:val="pl-PL"/>
        </w:rPr>
        <w:t xml:space="preserve"> </w:t>
      </w:r>
      <w:r w:rsidRPr="00FD3298">
        <w:rPr>
          <w:sz w:val="20"/>
          <w:lang w:val="pl-PL"/>
        </w:rPr>
        <w:t>innym środkiem (karnym): (a) uznanie naruszenia; oraz (b) przyznanie odszkodowania (</w:t>
      </w:r>
      <w:hyperlink r:id="rId50">
        <w:r w:rsidRPr="00FD3298">
          <w:rPr>
            <w:i/>
            <w:color w:val="0072BC"/>
            <w:sz w:val="20"/>
            <w:lang w:val="pl-PL"/>
          </w:rPr>
          <w:t xml:space="preserve">Babjak i </w:t>
        </w:r>
        <w:r w:rsidR="00E76E5C" w:rsidRPr="00FD3298">
          <w:rPr>
            <w:i/>
            <w:color w:val="0072BC"/>
            <w:sz w:val="20"/>
            <w:lang w:val="pl-PL"/>
          </w:rPr>
          <w:t>I</w:t>
        </w:r>
        <w:r w:rsidRPr="00FD3298">
          <w:rPr>
            <w:i/>
            <w:color w:val="0072BC"/>
            <w:sz w:val="20"/>
            <w:lang w:val="pl-PL"/>
          </w:rPr>
          <w:t>nni przeciwko Słowacji</w:t>
        </w:r>
      </w:hyperlink>
      <w:r w:rsidRPr="00FD3298">
        <w:rPr>
          <w:sz w:val="20"/>
          <w:lang w:val="pl-PL"/>
        </w:rPr>
        <w:t xml:space="preserve"> (dec.), 2004</w:t>
      </w:r>
      <w:r w:rsidR="00E76E5C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). Ponadto, aby środek cywilny był skuteczny, powinien:</w:t>
      </w:r>
    </w:p>
    <w:p w14:paraId="71FCA156" w14:textId="77777777" w:rsidR="00A07774" w:rsidRDefault="008E4DB1" w:rsidP="00A33199">
      <w:pPr>
        <w:pStyle w:val="Tekstpodstawowy"/>
        <w:tabs>
          <w:tab w:val="left" w:pos="8628"/>
        </w:tabs>
        <w:spacing w:before="0"/>
        <w:jc w:val="left"/>
        <w:rPr>
          <w:sz w:val="20"/>
          <w:lang w:val="pl-PL"/>
        </w:rPr>
      </w:pPr>
      <w:r w:rsidRPr="00FD3298">
        <w:rPr>
          <w:sz w:val="20"/>
          <w:lang w:val="pl-PL"/>
        </w:rPr>
        <w:br/>
        <w:t xml:space="preserve">(i) być </w:t>
      </w:r>
      <w:r w:rsidRPr="00FD3298">
        <w:rPr>
          <w:spacing w:val="-4"/>
          <w:sz w:val="20"/>
          <w:lang w:val="pl-PL"/>
        </w:rPr>
        <w:t>dostępn</w:t>
      </w:r>
      <w:r w:rsidR="00F24E84" w:rsidRPr="00FD3298">
        <w:rPr>
          <w:spacing w:val="-4"/>
          <w:sz w:val="20"/>
          <w:lang w:val="pl-PL"/>
        </w:rPr>
        <w:t>y</w:t>
      </w:r>
      <w:r w:rsidRPr="00FD3298">
        <w:rPr>
          <w:spacing w:val="-4"/>
          <w:sz w:val="20"/>
          <w:lang w:val="pl-PL"/>
        </w:rPr>
        <w:t xml:space="preserve"> </w:t>
      </w:r>
      <w:r w:rsidRPr="00FD3298">
        <w:rPr>
          <w:sz w:val="20"/>
          <w:lang w:val="pl-PL"/>
        </w:rPr>
        <w:t xml:space="preserve">natychmiast po wystąpieniu domniemanego naruszenia i nie może zależeć od </w:t>
      </w:r>
    </w:p>
    <w:p w14:paraId="6994A802" w14:textId="77777777" w:rsidR="00A07774" w:rsidRDefault="008E4DB1" w:rsidP="00A33199">
      <w:pPr>
        <w:pStyle w:val="Tekstpodstawowy"/>
        <w:tabs>
          <w:tab w:val="left" w:pos="8628"/>
        </w:tabs>
        <w:spacing w:before="0"/>
        <w:jc w:val="left"/>
        <w:rPr>
          <w:sz w:val="20"/>
          <w:lang w:val="pl-PL"/>
        </w:rPr>
      </w:pPr>
      <w:r w:rsidRPr="00FD3298">
        <w:rPr>
          <w:sz w:val="20"/>
          <w:lang w:val="pl-PL"/>
        </w:rPr>
        <w:t xml:space="preserve">ostatecznego wyniku postępowania karnego (na przykład </w:t>
      </w:r>
      <w:hyperlink r:id="rId51">
        <w:r w:rsidRPr="00FD3298">
          <w:rPr>
            <w:i/>
            <w:color w:val="0072BC"/>
            <w:sz w:val="20"/>
            <w:lang w:val="pl-PL"/>
          </w:rPr>
          <w:t>Marchiani przeciwko Francji</w:t>
        </w:r>
      </w:hyperlink>
      <w:r w:rsidRPr="00FD3298">
        <w:rPr>
          <w:sz w:val="20"/>
          <w:lang w:val="pl-PL"/>
        </w:rPr>
        <w:t xml:space="preserve"> (dec.), 2008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; </w:t>
      </w:r>
      <w:hyperlink r:id="rId52">
        <w:r w:rsidRPr="00FD3298">
          <w:rPr>
            <w:i/>
            <w:color w:val="0072BC"/>
            <w:sz w:val="20"/>
            <w:lang w:val="pl-PL"/>
          </w:rPr>
          <w:t>Gutsanovi</w:t>
        </w:r>
      </w:hyperlink>
      <w:r w:rsidRPr="00FD3298">
        <w:rPr>
          <w:lang w:val="pl-PL"/>
        </w:rPr>
        <w:t xml:space="preserve"> </w:t>
      </w:r>
      <w:hyperlink r:id="rId53">
        <w:r w:rsidRPr="00FD3298">
          <w:rPr>
            <w:i/>
            <w:color w:val="0072BC"/>
            <w:sz w:val="20"/>
            <w:lang w:val="pl-PL"/>
          </w:rPr>
          <w:t>przeciwko Bułgarii</w:t>
        </w:r>
      </w:hyperlink>
      <w:r w:rsidRPr="00FD3298">
        <w:rPr>
          <w:sz w:val="20"/>
          <w:lang w:val="pl-PL"/>
        </w:rPr>
        <w:t xml:space="preserve">, 2013 r., §§ 176 i 178; zob. również, w kontekście późniejszego </w:t>
      </w:r>
    </w:p>
    <w:p w14:paraId="5A742280" w14:textId="03C64D6B" w:rsidR="008E4DB1" w:rsidRPr="00FD3298" w:rsidRDefault="008E4DB1" w:rsidP="00A33199">
      <w:pPr>
        <w:pStyle w:val="Tekstpodstawowy"/>
        <w:tabs>
          <w:tab w:val="left" w:pos="8628"/>
        </w:tabs>
        <w:spacing w:before="0"/>
        <w:jc w:val="left"/>
        <w:rPr>
          <w:lang w:val="pl-PL"/>
        </w:rPr>
      </w:pPr>
      <w:r w:rsidRPr="00FD3298">
        <w:rPr>
          <w:sz w:val="20"/>
          <w:lang w:val="pl-PL"/>
        </w:rPr>
        <w:t xml:space="preserve">postępowania, </w:t>
      </w:r>
      <w:hyperlink r:id="rId54">
        <w:r w:rsidRPr="00FD3298">
          <w:rPr>
            <w:i/>
            <w:color w:val="0072BC"/>
            <w:spacing w:val="-2"/>
            <w:sz w:val="20"/>
            <w:lang w:val="pl-PL"/>
          </w:rPr>
          <w:t>Januškevičienė</w:t>
        </w:r>
      </w:hyperlink>
      <w:r w:rsidRPr="00FD3298">
        <w:rPr>
          <w:lang w:val="pl-PL"/>
        </w:rPr>
        <w:t xml:space="preserve"> </w:t>
      </w:r>
      <w:hyperlink r:id="rId55">
        <w:r w:rsidRPr="00FD3298">
          <w:rPr>
            <w:i/>
            <w:color w:val="0072BC"/>
            <w:sz w:val="20"/>
            <w:lang w:val="pl-PL"/>
          </w:rPr>
          <w:t>przeciwko  Litwie</w:t>
        </w:r>
      </w:hyperlink>
      <w:r w:rsidRPr="00FD3298">
        <w:rPr>
          <w:sz w:val="20"/>
          <w:lang w:val="pl-PL"/>
        </w:rPr>
        <w:t xml:space="preserve">, 2019 r., §§ 49 i </w:t>
      </w:r>
      <w:r w:rsidRPr="00FD3298">
        <w:rPr>
          <w:spacing w:val="-4"/>
          <w:sz w:val="20"/>
          <w:lang w:val="pl-PL"/>
        </w:rPr>
        <w:t>60);</w:t>
      </w:r>
    </w:p>
    <w:p w14:paraId="54464EF7" w14:textId="228B1118" w:rsidR="008E3801" w:rsidRPr="00FD3298" w:rsidRDefault="008E4DB1" w:rsidP="00A33199">
      <w:pPr>
        <w:tabs>
          <w:tab w:val="left" w:pos="8628"/>
        </w:tabs>
        <w:spacing w:before="120"/>
        <w:ind w:left="737" w:right="731"/>
        <w:rPr>
          <w:sz w:val="20"/>
          <w:lang w:val="pl-PL"/>
        </w:rPr>
      </w:pPr>
      <w:r w:rsidRPr="00FD3298">
        <w:rPr>
          <w:lang w:val="pl-PL"/>
        </w:rPr>
        <w:t xml:space="preserve">(ii) </w:t>
      </w:r>
      <w:r w:rsidRPr="00FD3298">
        <w:rPr>
          <w:sz w:val="20"/>
          <w:lang w:val="pl-PL"/>
        </w:rPr>
        <w:t>nie może być wykluczony ze względu na immunitet urzędowy sędziów pokoju w odniesieniu do oświadczeń złożonych w ramach wykonywania ich funkcji (</w:t>
      </w:r>
      <w:hyperlink r:id="rId56">
        <w:r w:rsidRPr="00FD3298">
          <w:rPr>
            <w:i/>
            <w:color w:val="0072BC"/>
            <w:sz w:val="20"/>
            <w:lang w:val="pl-PL"/>
          </w:rPr>
          <w:t>Gutsanovi przeciwko Bułgarii</w:t>
        </w:r>
      </w:hyperlink>
      <w:r w:rsidRPr="00FD3298">
        <w:rPr>
          <w:sz w:val="20"/>
          <w:lang w:val="pl-PL"/>
        </w:rPr>
        <w:t>, 2013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177);</w:t>
      </w:r>
    </w:p>
    <w:p w14:paraId="28503991" w14:textId="5598AF20" w:rsidR="008E3801" w:rsidRPr="00FD3298" w:rsidRDefault="008E4DB1" w:rsidP="00A33199">
      <w:pPr>
        <w:tabs>
          <w:tab w:val="left" w:pos="1109"/>
          <w:tab w:val="left" w:pos="8628"/>
        </w:tabs>
        <w:spacing w:before="120"/>
        <w:ind w:left="737" w:right="731"/>
        <w:jc w:val="both"/>
        <w:rPr>
          <w:lang w:val="pl-PL"/>
        </w:rPr>
      </w:pPr>
      <w:r w:rsidRPr="00FD3298">
        <w:rPr>
          <w:sz w:val="20"/>
          <w:lang w:val="pl-PL"/>
        </w:rPr>
        <w:t xml:space="preserve">(iii) aby prawidłowo wyczerpać krajowe środki odwoławcze, nie można oczekiwać, że skarżący zarzucający naruszenie art. 6 </w:t>
      </w:r>
      <w:r w:rsidR="00A07774">
        <w:rPr>
          <w:sz w:val="20"/>
          <w:lang w:val="pl-PL"/>
        </w:rPr>
        <w:t>ust.</w:t>
      </w:r>
      <w:r w:rsidRPr="00FD3298">
        <w:rPr>
          <w:sz w:val="20"/>
          <w:lang w:val="pl-PL"/>
        </w:rPr>
        <w:t xml:space="preserve"> 2 w późniejszym postępowaniu cywilnym o odszkodowanie będzie domagał się kontynuowania postępowania karnego przeciwko niemu (</w:t>
      </w:r>
      <w:hyperlink r:id="rId57">
        <w:r w:rsidRPr="00FD3298">
          <w:rPr>
            <w:i/>
            <w:color w:val="0072BC"/>
            <w:sz w:val="20"/>
            <w:lang w:val="pl-PL"/>
          </w:rPr>
          <w:t>Machalický przeciwko Republice Czeskiej</w:t>
        </w:r>
      </w:hyperlink>
      <w:r w:rsidRPr="00FD3298">
        <w:rPr>
          <w:sz w:val="20"/>
          <w:lang w:val="pl-PL"/>
        </w:rPr>
        <w:t>, 2024</w:t>
      </w:r>
      <w:r w:rsidR="00F24E84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37).</w:t>
      </w:r>
    </w:p>
    <w:p w14:paraId="28BD2F5E" w14:textId="77777777" w:rsidR="008E3801" w:rsidRPr="00FD3298" w:rsidRDefault="008E3801">
      <w:pPr>
        <w:pStyle w:val="Akapitzlist"/>
        <w:rPr>
          <w:lang w:val="pl-PL"/>
        </w:rPr>
        <w:sectPr w:rsidR="008E3801" w:rsidRPr="00FD3298" w:rsidSect="00A33199">
          <w:pgSz w:w="11910" w:h="16840"/>
          <w:pgMar w:top="1162" w:right="1701" w:bottom="862" w:left="709" w:header="760" w:footer="675" w:gutter="0"/>
          <w:cols w:space="708"/>
        </w:sectPr>
      </w:pPr>
    </w:p>
    <w:p w14:paraId="7CCEEBC2" w14:textId="77777777" w:rsidR="008E3801" w:rsidRPr="00FD3298" w:rsidRDefault="008E3801">
      <w:pPr>
        <w:pStyle w:val="Tekstpodstawowy"/>
        <w:spacing w:before="137"/>
        <w:ind w:left="0"/>
        <w:jc w:val="left"/>
        <w:rPr>
          <w:sz w:val="24"/>
          <w:lang w:val="pl-PL"/>
        </w:rPr>
      </w:pPr>
    </w:p>
    <w:p w14:paraId="29375DAD" w14:textId="1BC7B9F2" w:rsidR="008E3801" w:rsidRPr="00FD3298" w:rsidRDefault="00000000">
      <w:pPr>
        <w:pStyle w:val="Nagwek3"/>
        <w:rPr>
          <w:lang w:val="pl-PL"/>
        </w:rPr>
      </w:pPr>
      <w:r w:rsidRPr="00FD3298">
        <w:rPr>
          <w:color w:val="2C2C2C"/>
          <w:sz w:val="22"/>
          <w:lang w:val="pl-PL"/>
        </w:rPr>
        <w:t xml:space="preserve">Połączenie </w:t>
      </w:r>
      <w:r w:rsidRPr="00FD3298">
        <w:rPr>
          <w:color w:val="2C2C2C"/>
          <w:spacing w:val="-2"/>
          <w:sz w:val="22"/>
          <w:lang w:val="pl-PL"/>
        </w:rPr>
        <w:t xml:space="preserve">środków </w:t>
      </w:r>
      <w:r w:rsidR="00A07774">
        <w:rPr>
          <w:color w:val="2C2C2C"/>
          <w:spacing w:val="-2"/>
          <w:sz w:val="22"/>
          <w:lang w:val="pl-PL"/>
        </w:rPr>
        <w:t>odwoławczych</w:t>
      </w:r>
    </w:p>
    <w:p w14:paraId="4C11746A" w14:textId="4C1B7C6A" w:rsidR="008E3801" w:rsidRPr="00FD3298" w:rsidRDefault="00000000">
      <w:pPr>
        <w:pStyle w:val="Tekstpodstawowy"/>
        <w:ind w:right="729"/>
        <w:rPr>
          <w:lang w:val="pl-PL"/>
        </w:rPr>
      </w:pPr>
      <w:r w:rsidRPr="00FD3298">
        <w:rPr>
          <w:sz w:val="20"/>
          <w:lang w:val="pl-PL"/>
        </w:rPr>
        <w:t>W kontekście Artykułu 13 Konwencji Trybunał orzekł, że chociaż żaden pojedynczy środek odwoławczy nie może sam w sobie w pełni spełnić wymogów Artykułu 13, może to uczynić suma środków odwoławczych przewidzianych w prawie krajowym (</w:t>
      </w:r>
      <w:hyperlink r:id="rId58">
        <w:r w:rsidR="008E3801" w:rsidRPr="00FD3298">
          <w:rPr>
            <w:i/>
            <w:color w:val="0072BC"/>
            <w:sz w:val="20"/>
            <w:lang w:val="pl-PL"/>
          </w:rPr>
          <w:t>Silver i Inni przeciwko Zjednoczonemu Królestwu</w:t>
        </w:r>
      </w:hyperlink>
      <w:r w:rsidRPr="00FD3298">
        <w:rPr>
          <w:sz w:val="20"/>
          <w:lang w:val="pl-PL"/>
        </w:rPr>
        <w:t>, 1983</w:t>
      </w:r>
      <w:r w:rsidR="00E76E5C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113 (c)). Zasada ta znajduje również zastosowanie przy określaniu odpowiednich środków odwoławczych </w:t>
      </w:r>
      <w:r w:rsidRPr="00FD3298">
        <w:rPr>
          <w:spacing w:val="-2"/>
          <w:sz w:val="20"/>
          <w:lang w:val="pl-PL"/>
        </w:rPr>
        <w:t xml:space="preserve">w przypadku skarg </w:t>
      </w:r>
      <w:r w:rsidRPr="00FD3298">
        <w:rPr>
          <w:sz w:val="20"/>
          <w:lang w:val="pl-PL"/>
        </w:rPr>
        <w:t>dotyczących domniemania niewinności</w:t>
      </w:r>
      <w:r w:rsidRPr="00FD3298">
        <w:rPr>
          <w:spacing w:val="-2"/>
          <w:sz w:val="20"/>
          <w:lang w:val="pl-PL"/>
        </w:rPr>
        <w:t>.</w:t>
      </w:r>
    </w:p>
    <w:p w14:paraId="54ABD3AF" w14:textId="58354843" w:rsidR="008E3801" w:rsidRPr="00FD3298" w:rsidRDefault="00000000">
      <w:pPr>
        <w:pStyle w:val="Tekstpodstawowy"/>
        <w:ind w:right="728"/>
        <w:rPr>
          <w:lang w:val="pl-PL"/>
        </w:rPr>
      </w:pPr>
      <w:r w:rsidRPr="00FD3298">
        <w:rPr>
          <w:sz w:val="20"/>
          <w:lang w:val="pl-PL"/>
        </w:rPr>
        <w:t xml:space="preserve">Na przykład w sprawie </w:t>
      </w:r>
      <w:hyperlink r:id="rId59">
        <w:r w:rsidR="008E3801" w:rsidRPr="00FD3298">
          <w:rPr>
            <w:i/>
            <w:color w:val="0072BC"/>
            <w:sz w:val="20"/>
            <w:lang w:val="pl-PL"/>
          </w:rPr>
          <w:t>Rimšēvičs przeciwko Łotwie</w:t>
        </w:r>
      </w:hyperlink>
      <w:r w:rsidRPr="00FD3298">
        <w:rPr>
          <w:sz w:val="20"/>
          <w:lang w:val="pl-PL"/>
        </w:rPr>
        <w:t xml:space="preserve"> (dec.), 2023</w:t>
      </w:r>
      <w:r w:rsidR="00E76E5C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43-56, Trybunał stwierdził, że skarżący był zobowiązany do skorzystania z kombinacji krajowych środków odwoławczych: (i) środka karnego, dzięki któremu mógł uzyskać potwierdzenie swojego prawa do domniemania niewinności; oraz (ii) roszczenia cywilnego, które mogło zapewnić mu zadośćuczynienie w formie odszkodowania. Odpowiedni środek odwoławczy na mocy krajowego postępowania karnego pozwalał zainteresowanej osobie na złożenie, bez oczekiwania na rozstrzygnięcie sprawy, skargi dotyczącej naruszenia zasady domniemania niewinności przez oświadczenia osób </w:t>
      </w:r>
      <w:r w:rsidRPr="00FD3298">
        <w:rPr>
          <w:spacing w:val="-2"/>
          <w:sz w:val="20"/>
          <w:lang w:val="pl-PL"/>
        </w:rPr>
        <w:t xml:space="preserve">niezaangażowanych </w:t>
      </w:r>
      <w:r w:rsidRPr="00FD3298">
        <w:rPr>
          <w:sz w:val="20"/>
          <w:lang w:val="pl-PL"/>
        </w:rPr>
        <w:t xml:space="preserve">w postępowanie karne. W tych ramach organ prowadzący postępowanie karne mógł przyznać, że doszło do naruszenia zasady domniemania niewinności, zapewnić </w:t>
      </w:r>
      <w:r w:rsidRPr="00FD3298">
        <w:rPr>
          <w:spacing w:val="-2"/>
          <w:sz w:val="20"/>
          <w:lang w:val="pl-PL"/>
        </w:rPr>
        <w:t>upublicznienie</w:t>
      </w:r>
      <w:r w:rsidRPr="00FD3298">
        <w:rPr>
          <w:sz w:val="20"/>
          <w:lang w:val="pl-PL"/>
        </w:rPr>
        <w:t xml:space="preserve"> tego potwierdzenia </w:t>
      </w:r>
      <w:r w:rsidRPr="00FD3298">
        <w:rPr>
          <w:spacing w:val="-2"/>
          <w:sz w:val="20"/>
          <w:lang w:val="pl-PL"/>
        </w:rPr>
        <w:t xml:space="preserve">i przekazać sprawę do oceny organowi, który mógł zdecydować o odpowiedzialności </w:t>
      </w:r>
      <w:r w:rsidRPr="00FD3298">
        <w:rPr>
          <w:sz w:val="20"/>
          <w:lang w:val="pl-PL"/>
        </w:rPr>
        <w:t>urzędnika, który złożył oświadczenie. Przyznanie to mogłoby następnie służyć jako podstawa roszczenia cywilnego o odszkodowanie.</w:t>
      </w:r>
    </w:p>
    <w:p w14:paraId="5EE4BDDC" w14:textId="6521825B" w:rsidR="008E3801" w:rsidRPr="00FD3298" w:rsidRDefault="00000000">
      <w:pPr>
        <w:pStyle w:val="Tekstpodstawowy"/>
        <w:ind w:right="728"/>
        <w:rPr>
          <w:lang w:val="pl-PL"/>
        </w:rPr>
      </w:pPr>
      <w:r w:rsidRPr="00FD3298">
        <w:rPr>
          <w:sz w:val="20"/>
          <w:lang w:val="pl-PL"/>
        </w:rPr>
        <w:t>W systemach prawnych, w których zniesławienie jest karalne, skarga karna o zniesławienie (z dodatkowym roszczeniem cywilnym o odszkodowanie złożonym w ramach postępowania karnego) może zasadniczo mieć ten sam cel, co roszczenie cywilne w systemach prawnych, w których zniesławienie jest sprawą cywilną (</w:t>
      </w:r>
      <w:hyperlink r:id="rId60">
        <w:r w:rsidRPr="00FD3298">
          <w:rPr>
            <w:i/>
            <w:color w:val="0072BC"/>
            <w:sz w:val="20"/>
            <w:lang w:val="pl-PL"/>
          </w:rPr>
          <w:t>Gutsanovi przeciwko Bułgarii</w:t>
        </w:r>
      </w:hyperlink>
      <w:r w:rsidRPr="00FD3298">
        <w:rPr>
          <w:sz w:val="20"/>
          <w:lang w:val="pl-PL"/>
        </w:rPr>
        <w:t>, 2013</w:t>
      </w:r>
      <w:r w:rsidR="00E76E5C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178). Jednakże skuteczność takiego środka prawnego może zostać podważona przez konieczność zastosowania prawnokarnego standardu dowodowego, w którym strona oskarżająca (wnioskodawca) może być zobowiązana do udowodnienia nieprawdziwości kwestionowanego oświadczenia. Może to oznaczać, że </w:t>
      </w:r>
      <w:r w:rsidR="00A07774">
        <w:rPr>
          <w:sz w:val="20"/>
          <w:lang w:val="pl-PL"/>
        </w:rPr>
        <w:t>skarżacy</w:t>
      </w:r>
      <w:r w:rsidRPr="00FD3298">
        <w:rPr>
          <w:sz w:val="20"/>
          <w:lang w:val="pl-PL"/>
        </w:rPr>
        <w:t xml:space="preserve"> musi udowodnić swoją niewinność, a taki środek nie może być uznany za skuteczny (tamże, § 179).</w:t>
      </w:r>
    </w:p>
    <w:p w14:paraId="0854803C" w14:textId="77777777" w:rsidR="008E3801" w:rsidRPr="00FD3298" w:rsidRDefault="008E3801">
      <w:pPr>
        <w:pStyle w:val="Tekstpodstawowy"/>
        <w:spacing w:before="15"/>
        <w:ind w:left="0"/>
        <w:jc w:val="left"/>
        <w:rPr>
          <w:lang w:val="pl-PL"/>
        </w:rPr>
      </w:pPr>
    </w:p>
    <w:p w14:paraId="2CC83313" w14:textId="77777777" w:rsidR="008E3801" w:rsidRPr="00FD3298" w:rsidRDefault="00000000">
      <w:pPr>
        <w:pStyle w:val="Nagwek2"/>
        <w:spacing w:line="254" w:lineRule="auto"/>
        <w:ind w:right="732"/>
        <w:rPr>
          <w:lang w:val="pl-PL"/>
        </w:rPr>
      </w:pPr>
      <w:r w:rsidRPr="00FD3298">
        <w:rPr>
          <w:color w:val="2C2C2C"/>
          <w:w w:val="90"/>
          <w:sz w:val="26"/>
          <w:lang w:val="pl-PL"/>
        </w:rPr>
        <w:t>Przestrzeganie zasady czterech miesięcy i niezależność wyników postępowania karnego:</w:t>
      </w:r>
    </w:p>
    <w:p w14:paraId="175C1900" w14:textId="4EE42839" w:rsidR="008E3801" w:rsidRPr="00FD3298" w:rsidRDefault="00000000">
      <w:pPr>
        <w:pStyle w:val="Tekstpodstawowy"/>
        <w:spacing w:before="117"/>
        <w:ind w:right="729"/>
        <w:rPr>
          <w:lang w:val="pl-PL"/>
        </w:rPr>
      </w:pPr>
      <w:r w:rsidRPr="00FD3298">
        <w:rPr>
          <w:sz w:val="20"/>
          <w:lang w:val="pl-PL"/>
        </w:rPr>
        <w:t>Odpowiedź na pytanie, czy krajowy system prawny oferuje skuteczny środek odwoławczy i czy został on wykorzystany, ma również wpływ na kwestię przestrzegania czteromiesięcznego (wcześniej sześciomiesięcznego) terminu (</w:t>
      </w:r>
      <w:hyperlink r:id="rId61">
        <w:r w:rsidR="008E3801" w:rsidRPr="00FD3298">
          <w:rPr>
            <w:i/>
            <w:color w:val="0072BC"/>
            <w:sz w:val="20"/>
            <w:lang w:val="pl-PL"/>
          </w:rPr>
          <w:t>Hajnal przeciwko Serbii</w:t>
        </w:r>
      </w:hyperlink>
      <w:r w:rsidRPr="00FD3298">
        <w:rPr>
          <w:sz w:val="20"/>
          <w:lang w:val="pl-PL"/>
        </w:rPr>
        <w:t>, 2012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126).</w:t>
      </w:r>
    </w:p>
    <w:p w14:paraId="4337D836" w14:textId="7316EAB6" w:rsidR="008E3801" w:rsidRPr="00FD3298" w:rsidRDefault="00000000">
      <w:pPr>
        <w:pStyle w:val="Tekstpodstawowy"/>
        <w:ind w:right="729"/>
        <w:rPr>
          <w:lang w:val="pl-PL"/>
        </w:rPr>
      </w:pPr>
      <w:r w:rsidRPr="00FD3298">
        <w:rPr>
          <w:sz w:val="20"/>
          <w:lang w:val="pl-PL"/>
        </w:rPr>
        <w:t xml:space="preserve">W przeciwieństwie do skarg na podstawie art. 6 </w:t>
      </w:r>
      <w:r w:rsidR="004A7423">
        <w:rPr>
          <w:sz w:val="20"/>
          <w:lang w:val="pl-PL"/>
        </w:rPr>
        <w:t xml:space="preserve">ust. </w:t>
      </w:r>
      <w:r w:rsidRPr="00FD3298">
        <w:rPr>
          <w:sz w:val="20"/>
          <w:lang w:val="pl-PL"/>
        </w:rPr>
        <w:t xml:space="preserve">1 i 3, które w przypadku braku szczególnych okoliczności są uznawane za niedopuszczalne jako przedwczesne, gdy dotyczą toczącego się postępowania karnego </w:t>
      </w:r>
      <w:hyperlink r:id="rId62">
        <w:r w:rsidR="008E3801" w:rsidRPr="00FD3298">
          <w:rPr>
            <w:i/>
            <w:color w:val="0072BC"/>
            <w:sz w:val="20"/>
            <w:lang w:val="pl-PL"/>
          </w:rPr>
          <w:t>(Sperisen przeciwko Szwajcarii</w:t>
        </w:r>
      </w:hyperlink>
      <w:r w:rsidRPr="00FD3298">
        <w:rPr>
          <w:sz w:val="20"/>
          <w:lang w:val="pl-PL"/>
        </w:rPr>
        <w:t>, 2023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48), skargi na podstawie art. 6 </w:t>
      </w:r>
      <w:r w:rsidR="004A7423">
        <w:rPr>
          <w:sz w:val="20"/>
          <w:lang w:val="pl-PL"/>
        </w:rPr>
        <w:t>ust.</w:t>
      </w:r>
      <w:r w:rsidRPr="00FD3298">
        <w:rPr>
          <w:sz w:val="20"/>
          <w:lang w:val="pl-PL"/>
        </w:rPr>
        <w:t xml:space="preserve"> 2 dotyczące przedwczesnego wyrażenia winy nie są odrzucane na tej podstawie, że postępowanie karne jest nadal w toku (</w:t>
      </w:r>
      <w:hyperlink r:id="rId63">
        <w:r w:rsidRPr="00FD3298">
          <w:rPr>
            <w:i/>
            <w:color w:val="0072BC"/>
            <w:sz w:val="20"/>
            <w:lang w:val="pl-PL"/>
          </w:rPr>
          <w:t>Gutsanovi p</w:t>
        </w:r>
        <w:r w:rsidR="0007388F" w:rsidRPr="00FD3298">
          <w:rPr>
            <w:i/>
            <w:color w:val="0072BC"/>
            <w:sz w:val="20"/>
            <w:lang w:val="pl-PL"/>
          </w:rPr>
          <w:t>rzeciwko</w:t>
        </w:r>
        <w:r w:rsidRPr="00FD3298">
          <w:rPr>
            <w:i/>
            <w:color w:val="0072BC"/>
            <w:sz w:val="20"/>
            <w:lang w:val="pl-PL"/>
          </w:rPr>
          <w:t xml:space="preserve"> Bułgarii</w:t>
        </w:r>
      </w:hyperlink>
      <w:r w:rsidRPr="00FD3298">
        <w:rPr>
          <w:sz w:val="20"/>
          <w:lang w:val="pl-PL"/>
        </w:rPr>
        <w:t>, 2013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 176; </w:t>
      </w:r>
      <w:hyperlink r:id="rId64">
        <w:r w:rsidR="008E3801" w:rsidRPr="00FD3298">
          <w:rPr>
            <w:i/>
            <w:color w:val="0072BC"/>
            <w:sz w:val="20"/>
            <w:lang w:val="pl-PL"/>
          </w:rPr>
          <w:t>Narbutas przeciwko Litwie</w:t>
        </w:r>
      </w:hyperlink>
      <w:r w:rsidRPr="00FD3298">
        <w:rPr>
          <w:sz w:val="20"/>
          <w:lang w:val="pl-PL"/>
        </w:rPr>
        <w:t>, 2023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 211).</w:t>
      </w:r>
    </w:p>
    <w:p w14:paraId="506E66D5" w14:textId="5CC98B62" w:rsidR="008E3801" w:rsidRPr="00FD3298" w:rsidRDefault="00000000">
      <w:pPr>
        <w:pStyle w:val="Tekstpodstawowy"/>
        <w:ind w:right="728"/>
        <w:rPr>
          <w:lang w:val="pl-PL"/>
        </w:rPr>
      </w:pPr>
      <w:r w:rsidRPr="00FD3298">
        <w:rPr>
          <w:sz w:val="20"/>
          <w:lang w:val="pl-PL"/>
        </w:rPr>
        <w:t xml:space="preserve">Taka sytuacja miała miejsce na przykład w sprawie </w:t>
      </w:r>
      <w:hyperlink r:id="rId65">
        <w:r w:rsidR="008E3801" w:rsidRPr="00FD3298">
          <w:rPr>
            <w:i/>
            <w:color w:val="0072BC"/>
            <w:sz w:val="20"/>
            <w:lang w:val="pl-PL"/>
          </w:rPr>
          <w:t>Nadir Yıldırım i Inni przeciwko Turcji</w:t>
        </w:r>
      </w:hyperlink>
      <w:r w:rsidRPr="00FD3298">
        <w:rPr>
          <w:sz w:val="20"/>
          <w:lang w:val="pl-PL"/>
        </w:rPr>
        <w:t>, 2023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§§ 45-48, w której postępowanie karne przeciwko skarżącym zostało wszczęte w 2010 roku. W 2016 r. przewodniczący sądu procesowego sporządził raport z dochodzenia w sprawie uchylenia immunitetu parlamentarnego skarżących, który zawierał bezwarunkowe stwierdzenie, że skarżący popełnili przypisane im przestępstwa. Skarżący bezskutecznie wnioskowali o wyłączenie sędziego na tej podstawie. Rząd podniósł, że postępowanie karne było nadal w toku, a w przypadku skazania skarżących mogli oni podnieść zarzut domniemania niewinności w apelacji do Sądu Kasacyjnego. Trybunał orzekł, że biorąc pod uwagę czas wymagany do uzyskania dostępu do tego potencjalnego środka odwoławczego, nie można go uznać za skuteczny.</w:t>
      </w:r>
    </w:p>
    <w:p w14:paraId="640B4090" w14:textId="4835CEA0" w:rsidR="008E3801" w:rsidRPr="00FD3298" w:rsidRDefault="00000000" w:rsidP="004A7423">
      <w:pPr>
        <w:pStyle w:val="Tekstpodstawowy"/>
        <w:ind w:right="730"/>
        <w:rPr>
          <w:lang w:val="pl-PL"/>
        </w:rPr>
        <w:sectPr w:rsidR="008E3801" w:rsidRPr="00FD3298">
          <w:pgSz w:w="11910" w:h="16840"/>
          <w:pgMar w:top="1160" w:right="708" w:bottom="860" w:left="708" w:header="759" w:footer="677" w:gutter="0"/>
          <w:cols w:space="708"/>
        </w:sectPr>
      </w:pPr>
      <w:r w:rsidRPr="00FD3298">
        <w:rPr>
          <w:sz w:val="20"/>
          <w:lang w:val="pl-PL"/>
        </w:rPr>
        <w:t xml:space="preserve">W przypadku, gdy Trybunał przyjął, że skarga na podstawie art. 6 </w:t>
      </w:r>
      <w:r w:rsidR="004A7423">
        <w:rPr>
          <w:sz w:val="20"/>
          <w:lang w:val="pl-PL"/>
        </w:rPr>
        <w:t>ust.</w:t>
      </w:r>
      <w:r w:rsidRPr="00FD3298">
        <w:rPr>
          <w:sz w:val="20"/>
          <w:lang w:val="pl-PL"/>
        </w:rPr>
        <w:t xml:space="preserve"> 2 nie może zostać odrzucona z powodu niewyczerpania krajowych środków odwoławczych, ponieważ skarżący należycie podniósł tę kwestię w toku postępowania karnego, termin czterech/sześciu miesięcy należy liczyć od momentu ostatecznego rozstrzygnięcia</w:t>
      </w:r>
      <w:r w:rsidR="004A7423">
        <w:rPr>
          <w:sz w:val="20"/>
          <w:lang w:val="pl-PL"/>
        </w:rPr>
        <w:t xml:space="preserve"> w przedmiocie </w:t>
      </w:r>
      <w:r w:rsidR="004A7423" w:rsidRPr="004A7423">
        <w:rPr>
          <w:sz w:val="20"/>
          <w:lang w:val="pl-PL"/>
        </w:rPr>
        <w:t>zarzutu karnego (</w:t>
      </w:r>
      <w:r w:rsidR="004A7423" w:rsidRPr="007D037A">
        <w:rPr>
          <w:i/>
          <w:color w:val="0072BC"/>
          <w:sz w:val="20"/>
          <w:lang w:val="pl-PL"/>
        </w:rPr>
        <w:t>Panasyuk przeciwko Ukrainie (dec.),</w:t>
      </w:r>
      <w:r w:rsidR="004A7423" w:rsidRPr="004A7423">
        <w:rPr>
          <w:i/>
          <w:iCs/>
          <w:sz w:val="20"/>
          <w:lang w:val="pl-PL"/>
        </w:rPr>
        <w:t xml:space="preserve"> 2011 r.).</w:t>
      </w:r>
    </w:p>
    <w:p w14:paraId="1EB8BBCA" w14:textId="77777777" w:rsidR="008E3801" w:rsidRPr="00FD3298" w:rsidRDefault="008E3801">
      <w:pPr>
        <w:pStyle w:val="Tekstpodstawowy"/>
        <w:spacing w:before="161"/>
        <w:ind w:left="0"/>
        <w:jc w:val="left"/>
        <w:rPr>
          <w:lang w:val="pl-PL"/>
        </w:rPr>
      </w:pPr>
    </w:p>
    <w:p w14:paraId="3009084E" w14:textId="7CA09F3F" w:rsidR="008E3801" w:rsidRPr="00FD3298" w:rsidRDefault="00000000">
      <w:pPr>
        <w:pStyle w:val="Tekstpodstawowy"/>
        <w:spacing w:before="0"/>
        <w:ind w:right="729"/>
        <w:rPr>
          <w:lang w:val="pl-PL"/>
        </w:rPr>
      </w:pPr>
      <w:r w:rsidRPr="00FD3298">
        <w:rPr>
          <w:sz w:val="20"/>
          <w:lang w:val="pl-PL"/>
        </w:rPr>
        <w:t>W przypadku, gdy żaden środek odwoławczy (w szczególności środek prawa karnego) nie zostanie uznany za skuteczny, termin jest liczony od dnia odpowiedniego rzekomo szkodliwego oświadczenia (</w:t>
      </w:r>
      <w:hyperlink r:id="rId66">
        <w:r w:rsidR="008E3801" w:rsidRPr="00FD3298">
          <w:rPr>
            <w:i/>
            <w:color w:val="0072BC"/>
            <w:sz w:val="20"/>
            <w:lang w:val="pl-PL"/>
          </w:rPr>
          <w:t>Neagoe przeciwko Rumunii</w:t>
        </w:r>
      </w:hyperlink>
      <w:r w:rsidRPr="00FD3298">
        <w:rPr>
          <w:sz w:val="20"/>
          <w:lang w:val="pl-PL"/>
        </w:rPr>
        <w:t>, 2015</w:t>
      </w:r>
      <w:r w:rsidR="00E76E5C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>, §§ 26-34).</w:t>
      </w:r>
    </w:p>
    <w:p w14:paraId="65905C98" w14:textId="77777777" w:rsidR="008E3801" w:rsidRPr="00FD3298" w:rsidRDefault="008E3801">
      <w:pPr>
        <w:pStyle w:val="Tekstpodstawowy"/>
        <w:spacing w:before="11"/>
        <w:ind w:left="0"/>
        <w:jc w:val="left"/>
        <w:rPr>
          <w:lang w:val="pl-PL"/>
        </w:rPr>
      </w:pPr>
    </w:p>
    <w:p w14:paraId="6E3D1F43" w14:textId="6870C4C5" w:rsidR="008E3801" w:rsidRDefault="00000000">
      <w:pPr>
        <w:pStyle w:val="Nagwek1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3265F1" wp14:editId="3A7DAA7D">
                <wp:simplePos x="0" y="0"/>
                <wp:positionH relativeFrom="page">
                  <wp:posOffset>895985</wp:posOffset>
                </wp:positionH>
                <wp:positionV relativeFrom="paragraph">
                  <wp:posOffset>239860</wp:posOffset>
                </wp:positionV>
                <wp:extent cx="576897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383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915D9" id="Graphic 12" o:spid="_x0000_s1026" style="position:absolute;margin-left:70.55pt;margin-top:18.9pt;width:454.2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" path="m,l5768974,e" filled="f" strokecolor="#838383" strokeweight="1.5pt">
                <v:path arrowok="t"/>
                <w10:wrap type="topAndBottom" anchorx="page"/>
              </v:shape>
            </w:pict>
          </mc:Fallback>
        </mc:AlternateContent>
      </w:r>
      <w:r w:rsidRPr="00FD3298">
        <w:rPr>
          <w:color w:val="2C2C2C"/>
          <w:sz w:val="26"/>
          <w:lang w:val="pl-PL"/>
        </w:rPr>
        <w:t xml:space="preserve"> </w:t>
      </w:r>
      <w:r w:rsidR="0007388F">
        <w:rPr>
          <w:color w:val="2C2C2C"/>
          <w:spacing w:val="-2"/>
          <w:sz w:val="26"/>
        </w:rPr>
        <w:t>P</w:t>
      </w:r>
      <w:r>
        <w:rPr>
          <w:color w:val="2C2C2C"/>
          <w:spacing w:val="-2"/>
          <w:sz w:val="26"/>
        </w:rPr>
        <w:t>rzykłady</w:t>
      </w:r>
      <w:r w:rsidR="0007388F" w:rsidRPr="0007388F">
        <w:rPr>
          <w:color w:val="2C2C2C"/>
          <w:sz w:val="26"/>
        </w:rPr>
        <w:t xml:space="preserve"> </w:t>
      </w:r>
      <w:r w:rsidR="0007388F">
        <w:rPr>
          <w:color w:val="2C2C2C"/>
          <w:sz w:val="26"/>
        </w:rPr>
        <w:t>godne uwagi</w:t>
      </w:r>
    </w:p>
    <w:p w14:paraId="39E54AB2" w14:textId="1B1DDFB0" w:rsidR="008E3801" w:rsidRPr="00FD3298" w:rsidRDefault="008E3801">
      <w:pPr>
        <w:pStyle w:val="Akapitzlist"/>
        <w:numPr>
          <w:ilvl w:val="0"/>
          <w:numId w:val="1"/>
        </w:numPr>
        <w:tabs>
          <w:tab w:val="left" w:pos="1583"/>
        </w:tabs>
        <w:ind w:right="728"/>
        <w:rPr>
          <w:lang w:val="pl-PL"/>
        </w:rPr>
      </w:pPr>
      <w:hyperlink r:id="rId67">
        <w:r w:rsidRPr="00FD3298">
          <w:rPr>
            <w:i/>
            <w:color w:val="0072BC"/>
            <w:sz w:val="20"/>
            <w:lang w:val="pl-PL"/>
          </w:rPr>
          <w:t>Arrigo i Vella przeciwko Malcie</w:t>
        </w:r>
      </w:hyperlink>
      <w:r w:rsidRPr="00FD3298">
        <w:rPr>
          <w:sz w:val="20"/>
          <w:lang w:val="pl-PL"/>
        </w:rPr>
        <w:t xml:space="preserve"> (dec.), 2005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 - sprawa dotyczyła wypowiedzi premiera dla mediów na temat śledztwa w sprawie podejrzenia popełnienia przestępstwa przez skarżących. Podczas gdy postępowanie karne było w toku, ich skarga dotycząca naruszenia zasady domniemania niewinności została rozpatrzona w równoległym postępowaniu w sprawie skargi konstytucyjnej, a Trybunał Konstytucyjny orzekł, że doszło do naruszenia prawa skarżących do rzetelnego procesu sądowego i domniemania niewinności. Trybunał nakazał </w:t>
      </w:r>
      <w:r w:rsidRPr="00FD3298">
        <w:rPr>
          <w:spacing w:val="-1"/>
          <w:sz w:val="20"/>
          <w:lang w:val="pl-PL"/>
        </w:rPr>
        <w:t xml:space="preserve">umieszczenie </w:t>
      </w:r>
      <w:r w:rsidRPr="00FD3298">
        <w:rPr>
          <w:sz w:val="20"/>
          <w:lang w:val="pl-PL"/>
        </w:rPr>
        <w:t xml:space="preserve">kopii wyroku w aktach postępowania karnego toczącego się przeciwko </w:t>
      </w:r>
      <w:r w:rsidRPr="00FD3298">
        <w:rPr>
          <w:spacing w:val="-10"/>
          <w:sz w:val="20"/>
          <w:lang w:val="pl-PL"/>
        </w:rPr>
        <w:t>skarżącym</w:t>
      </w:r>
      <w:r w:rsidRPr="00FD3298">
        <w:rPr>
          <w:sz w:val="20"/>
          <w:lang w:val="pl-PL"/>
        </w:rPr>
        <w:t xml:space="preserve">. Trybunał uznał, że skarżący nie mogą już twierdzić, że są ofiarami domniemanego naruszenia art. 6 </w:t>
      </w:r>
      <w:r w:rsidR="00507C9B">
        <w:rPr>
          <w:sz w:val="20"/>
          <w:lang w:val="pl-PL"/>
        </w:rPr>
        <w:t>ust.</w:t>
      </w:r>
      <w:r w:rsidRPr="00FD3298">
        <w:rPr>
          <w:sz w:val="20"/>
          <w:lang w:val="pl-PL"/>
        </w:rPr>
        <w:t xml:space="preserve"> 2 w rozumieniu art. 34: niezgodność </w:t>
      </w:r>
      <w:r w:rsidRPr="00FD3298">
        <w:rPr>
          <w:i/>
          <w:sz w:val="20"/>
          <w:lang w:val="pl-PL"/>
        </w:rPr>
        <w:t>ratione personae</w:t>
      </w:r>
      <w:r w:rsidRPr="00FD3298">
        <w:rPr>
          <w:sz w:val="20"/>
          <w:lang w:val="pl-PL"/>
        </w:rPr>
        <w:t>, ponieważ naruszenie zostało uznane i zapewniono im wystarczające zadośćuczynienie;</w:t>
      </w:r>
    </w:p>
    <w:p w14:paraId="2C6F6429" w14:textId="2DD8A2F1" w:rsidR="008E3801" w:rsidRPr="00FD3298" w:rsidRDefault="008E3801">
      <w:pPr>
        <w:pStyle w:val="Akapitzlist"/>
        <w:numPr>
          <w:ilvl w:val="0"/>
          <w:numId w:val="1"/>
        </w:numPr>
        <w:tabs>
          <w:tab w:val="left" w:pos="1583"/>
        </w:tabs>
        <w:ind w:right="728"/>
        <w:rPr>
          <w:lang w:val="pl-PL"/>
        </w:rPr>
      </w:pPr>
      <w:hyperlink r:id="rId68">
        <w:r w:rsidRPr="00FD3298">
          <w:rPr>
            <w:i/>
            <w:color w:val="0072BC"/>
            <w:sz w:val="20"/>
            <w:lang w:val="pl-PL"/>
          </w:rPr>
          <w:t>Marchiani przeciwko Francji</w:t>
        </w:r>
      </w:hyperlink>
      <w:r w:rsidRPr="00FD3298">
        <w:rPr>
          <w:sz w:val="20"/>
          <w:lang w:val="pl-PL"/>
        </w:rPr>
        <w:t xml:space="preserve"> (dec.), 2008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 - skarżący (poseł do Parlamentu Europejskiego) złożył skargę na podstawie art. 6 </w:t>
      </w:r>
      <w:r w:rsidR="00507C9B">
        <w:rPr>
          <w:sz w:val="20"/>
          <w:lang w:val="pl-PL"/>
        </w:rPr>
        <w:t>ust.</w:t>
      </w:r>
      <w:r w:rsidRPr="00FD3298">
        <w:rPr>
          <w:sz w:val="20"/>
          <w:lang w:val="pl-PL"/>
        </w:rPr>
        <w:t xml:space="preserve"> 2 w związku ze stwierdzeniami na jego temat zawartymi w raporcie przedłożonym przez prokuratora przewodniczącemu Parlamentu Europejskiego oraz w związku z artykułem prasowym, w którym opublikowano fragmenty tego raportu, które nie mogły zostać ujawnione bez udziału władz. Trybunał wskazał, że francuski kodeks cywilny przewiduje możliwość dochodzenia odszkodowania i żądania pilnego tymczasowego zadośćuczynienia w oparciu o domniemane naruszenie zasady domniemania niewinności, z czego skarżący nie skorzystał. Jego skarga została odrzucona z powodu niewyczerpania krajowych środków odwoławczych;</w:t>
      </w:r>
    </w:p>
    <w:p w14:paraId="48623609" w14:textId="4190C62D" w:rsidR="008E3801" w:rsidRPr="00FD3298" w:rsidRDefault="008E3801">
      <w:pPr>
        <w:pStyle w:val="Akapitzlist"/>
        <w:numPr>
          <w:ilvl w:val="0"/>
          <w:numId w:val="1"/>
        </w:numPr>
        <w:tabs>
          <w:tab w:val="left" w:pos="1583"/>
        </w:tabs>
        <w:ind w:right="727"/>
        <w:rPr>
          <w:lang w:val="pl-PL"/>
        </w:rPr>
      </w:pPr>
      <w:hyperlink r:id="rId69">
        <w:r w:rsidRPr="00FD3298">
          <w:rPr>
            <w:i/>
            <w:color w:val="0072BC"/>
            <w:sz w:val="20"/>
            <w:lang w:val="pl-PL"/>
          </w:rPr>
          <w:t>Konstas przeciwko Grecji</w:t>
        </w:r>
      </w:hyperlink>
      <w:r w:rsidRPr="00FD3298">
        <w:rPr>
          <w:sz w:val="20"/>
          <w:lang w:val="pl-PL"/>
        </w:rPr>
        <w:t>, 2011</w:t>
      </w:r>
      <w:r w:rsidR="0007388F" w:rsidRPr="00FD3298">
        <w:rPr>
          <w:sz w:val="20"/>
          <w:lang w:val="pl-PL"/>
        </w:rPr>
        <w:t xml:space="preserve"> r.</w:t>
      </w:r>
      <w:r w:rsidRPr="00FD3298">
        <w:rPr>
          <w:sz w:val="20"/>
          <w:lang w:val="pl-PL"/>
        </w:rPr>
        <w:t xml:space="preserve">, §§ 28-31 </w:t>
      </w:r>
      <w:r w:rsidR="00D204A9" w:rsidRPr="00FD3298">
        <w:rPr>
          <w:sz w:val="20"/>
          <w:lang w:val="pl-PL"/>
        </w:rPr>
        <w:t>–</w:t>
      </w:r>
      <w:r w:rsidRPr="00FD3298">
        <w:rPr>
          <w:sz w:val="20"/>
          <w:lang w:val="pl-PL"/>
        </w:rPr>
        <w:t xml:space="preserve"> </w:t>
      </w:r>
      <w:r w:rsidR="00D204A9" w:rsidRPr="00FD3298">
        <w:rPr>
          <w:sz w:val="20"/>
          <w:lang w:val="pl-PL"/>
        </w:rPr>
        <w:t xml:space="preserve">sprawa </w:t>
      </w:r>
      <w:r w:rsidRPr="00FD3298">
        <w:rPr>
          <w:sz w:val="20"/>
          <w:lang w:val="pl-PL"/>
        </w:rPr>
        <w:t>dotyczył</w:t>
      </w:r>
      <w:r w:rsidR="00D204A9" w:rsidRPr="00FD3298">
        <w:rPr>
          <w:sz w:val="20"/>
          <w:lang w:val="pl-PL"/>
        </w:rPr>
        <w:t>a</w:t>
      </w:r>
      <w:r w:rsidRPr="00FD3298">
        <w:rPr>
          <w:sz w:val="20"/>
          <w:lang w:val="pl-PL"/>
        </w:rPr>
        <w:t xml:space="preserve"> uwag poczynionych przez premiera i dwóch ministrów na temat sprawy karnej skarżącego oraz sformułowania decyzji sądu krajowego oddalającej zarzuty przeciwko niektórym oskarżonym, stwierdzając jednocześnie, że "skarżący odegrał główną rolę w popełnieniu przestępstw". Rząd argumentował, że skarżący powinien był domagać się odszkodowania za zniesławienie w postępowaniu cywilnym w odniesieniu zarówno do wypowiedzi polityków, jak i treści orzeczenia sądu. Zdaniem Rządu środek ten był skuteczny w odniesieniu do obu aspektów skargi skarżącego, bez rozróżnienia. Trybunał stwierdził, że skarżący nie dysponował skutecznym środkiem odwoławczym, który </w:t>
      </w:r>
      <w:r w:rsidRPr="00FD3298">
        <w:rPr>
          <w:spacing w:val="-13"/>
          <w:sz w:val="20"/>
          <w:lang w:val="pl-PL"/>
        </w:rPr>
        <w:t xml:space="preserve">umożliwiłby </w:t>
      </w:r>
      <w:r w:rsidRPr="00FD3298">
        <w:rPr>
          <w:sz w:val="20"/>
          <w:lang w:val="pl-PL"/>
        </w:rPr>
        <w:t xml:space="preserve">mu wezwanie danego sądu karnego do stwierdzenia naruszenia zasady domniemania niewinności z proceduralnego punktu widzenia, a roszczenie cywilne o zniesławienie nie mogło w pełni naprawić zarzucanego naruszenia tej zasady. Jednakże, wobec braku skutecznego krajowego środka odwoławczego, skarga dotycząca sformułowania użytego w orzeczeniu sądowym została odrzucona jako złożona ponad sześć miesięcy po dacie tego orzeczenia. Natomiast skargi dotyczące publicznych wypowiedzi członków </w:t>
      </w:r>
      <w:r w:rsidRPr="00FD3298">
        <w:rPr>
          <w:spacing w:val="-6"/>
          <w:sz w:val="20"/>
          <w:lang w:val="pl-PL"/>
        </w:rPr>
        <w:t xml:space="preserve">rządu </w:t>
      </w:r>
      <w:r w:rsidRPr="00FD3298">
        <w:rPr>
          <w:sz w:val="20"/>
          <w:lang w:val="pl-PL"/>
        </w:rPr>
        <w:t>zostały uznane za złożone w terminie i rozpatrzone co do istoty;</w:t>
      </w:r>
    </w:p>
    <w:p w14:paraId="7ABFD97F" w14:textId="363643A9" w:rsidR="008E3801" w:rsidRPr="00FD3298" w:rsidRDefault="008E3801">
      <w:pPr>
        <w:pStyle w:val="Akapitzlist"/>
        <w:numPr>
          <w:ilvl w:val="0"/>
          <w:numId w:val="1"/>
        </w:numPr>
        <w:tabs>
          <w:tab w:val="left" w:pos="1583"/>
        </w:tabs>
        <w:rPr>
          <w:lang w:val="pl-PL"/>
        </w:rPr>
      </w:pPr>
      <w:hyperlink r:id="rId70">
        <w:r w:rsidRPr="00FD3298">
          <w:rPr>
            <w:i/>
            <w:color w:val="0072BC"/>
            <w:sz w:val="20"/>
            <w:lang w:val="pl-PL"/>
          </w:rPr>
          <w:t>Januškevičienė przeciwko Litwie</w:t>
        </w:r>
      </w:hyperlink>
      <w:r w:rsidR="00000000" w:rsidRPr="00FD3298">
        <w:rPr>
          <w:sz w:val="20"/>
          <w:lang w:val="pl-PL"/>
        </w:rPr>
        <w:t>, 2019</w:t>
      </w:r>
      <w:r w:rsidR="0007388F" w:rsidRPr="00FD3298">
        <w:rPr>
          <w:sz w:val="20"/>
          <w:lang w:val="pl-PL"/>
        </w:rPr>
        <w:t xml:space="preserve"> r.</w:t>
      </w:r>
      <w:r w:rsidR="00000000" w:rsidRPr="00FD3298">
        <w:rPr>
          <w:sz w:val="20"/>
          <w:lang w:val="pl-PL"/>
        </w:rPr>
        <w:t xml:space="preserve">, §§ 56-63 - skarżąca skarżyła się, że w postępowaniu karnym przeciwko osobom trzecim sądy wydały wyroki stwierdzające, że popełniła ona przestępstwa w ramach zorganizowanej grupy. Rząd przedstawił przykłady orzecznictwa krajowego, w których osoby twierdziły, że oświadczenia przedstawiające je jako winne popełnienia przestępstwa naruszyły ich honor i godność. Nie istniały żadne wyjątkowe okoliczności, które zwalniałyby skarżącą z obowiązku skorzystania z tego środka odwoławczego. Trybunał uznał, że skarżąca nie wyczerpała krajowych środków odwoławczych w odniesieniu do jej skargi na podstawie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2;</w:t>
      </w:r>
    </w:p>
    <w:p w14:paraId="2D07E25C" w14:textId="7142699B" w:rsidR="008E3801" w:rsidRDefault="008E3801">
      <w:pPr>
        <w:pStyle w:val="Akapitzlist"/>
        <w:numPr>
          <w:ilvl w:val="0"/>
          <w:numId w:val="1"/>
        </w:numPr>
        <w:tabs>
          <w:tab w:val="left" w:pos="1583"/>
        </w:tabs>
      </w:pPr>
      <w:hyperlink r:id="rId71">
        <w:r w:rsidRPr="00FD3298">
          <w:rPr>
            <w:i/>
            <w:color w:val="0072BC"/>
            <w:sz w:val="20"/>
            <w:lang w:val="pl-PL"/>
          </w:rPr>
          <w:t>Narbutas przeciwko Litwie</w:t>
        </w:r>
      </w:hyperlink>
      <w:r w:rsidR="00000000" w:rsidRPr="00FD3298">
        <w:rPr>
          <w:sz w:val="20"/>
          <w:lang w:val="pl-PL"/>
        </w:rPr>
        <w:t>, 2023</w:t>
      </w:r>
      <w:r w:rsidR="0007388F" w:rsidRPr="00FD3298">
        <w:rPr>
          <w:sz w:val="20"/>
          <w:lang w:val="pl-PL"/>
        </w:rPr>
        <w:t xml:space="preserve"> r.</w:t>
      </w:r>
      <w:r w:rsidR="00000000" w:rsidRPr="00FD3298">
        <w:rPr>
          <w:sz w:val="20"/>
          <w:lang w:val="pl-PL"/>
        </w:rPr>
        <w:t xml:space="preserve">, §§ 211-17 - sprawa dotyczyła publicznych wypowiedzi kilku polityków na temat sprawy karnej skarżącego. Skarżący został uniewinniony w pierwszej instancji, ale apelacja prokuratora była w toku. </w:t>
      </w:r>
      <w:r w:rsidR="00000000">
        <w:rPr>
          <w:sz w:val="20"/>
        </w:rPr>
        <w:t>Trybunał odrzucił twierdzenia rządu</w:t>
      </w:r>
    </w:p>
    <w:p w14:paraId="2283BBC4" w14:textId="77777777" w:rsidR="008E3801" w:rsidRPr="0096001B" w:rsidRDefault="008E3801">
      <w:pPr>
        <w:pStyle w:val="Akapitzlist"/>
        <w:rPr>
          <w:lang w:val="pl-PL"/>
        </w:rPr>
        <w:sectPr w:rsidR="008E3801" w:rsidRPr="0096001B">
          <w:pgSz w:w="11910" w:h="16840"/>
          <w:pgMar w:top="1160" w:right="708" w:bottom="860" w:left="708" w:header="759" w:footer="677" w:gutter="0"/>
          <w:cols w:space="708"/>
        </w:sectPr>
      </w:pPr>
    </w:p>
    <w:p w14:paraId="32C70799" w14:textId="77777777" w:rsidR="008E3801" w:rsidRPr="0096001B" w:rsidRDefault="008E3801">
      <w:pPr>
        <w:pStyle w:val="Tekstpodstawowy"/>
        <w:spacing w:before="161"/>
        <w:ind w:left="0"/>
        <w:jc w:val="left"/>
        <w:rPr>
          <w:lang w:val="pl-PL"/>
        </w:rPr>
      </w:pPr>
    </w:p>
    <w:p w14:paraId="187B57AB" w14:textId="77777777" w:rsidR="008E3801" w:rsidRPr="00FD3298" w:rsidRDefault="00000000">
      <w:pPr>
        <w:pStyle w:val="Tekstpodstawowy"/>
        <w:spacing w:before="0"/>
        <w:ind w:left="1582" w:right="727"/>
        <w:rPr>
          <w:lang w:val="pl-PL"/>
        </w:rPr>
      </w:pPr>
      <w:r w:rsidRPr="00FD3298">
        <w:rPr>
          <w:sz w:val="20"/>
          <w:lang w:val="pl-PL"/>
        </w:rPr>
        <w:t>że jego skarga dotycząca naruszenia zasady domniemania niewinności była przedwczesna: w takich okolicznościach nie był przekonany, że podniesienie w postępowaniu karnym kwestii krzywdzących wypowiedzi osób, które nie były stronami tego postępowania karnego, było skutecznym środkiem odwoławczym. Trybunał odrzucił jednak skargę skarżącego z powodu niewyczerpania krajowych środków odwoławczych, ponieważ nie skorzystał on ze skutecznego środka odwoławczego, roszczenia cywilnego o ochronę jego honoru i godności, przeciwko wspomnianym postaciom politycznym.</w:t>
      </w:r>
    </w:p>
    <w:p w14:paraId="4EDF01DA" w14:textId="77777777" w:rsidR="008E3801" w:rsidRPr="00FD3298" w:rsidRDefault="008E3801">
      <w:pPr>
        <w:pStyle w:val="Tekstpodstawowy"/>
        <w:rPr>
          <w:lang w:val="pl-PL"/>
        </w:rPr>
        <w:sectPr w:rsidR="008E3801" w:rsidRPr="00FD3298">
          <w:pgSz w:w="11910" w:h="16840"/>
          <w:pgMar w:top="1160" w:right="708" w:bottom="860" w:left="708" w:header="759" w:footer="677" w:gutter="0"/>
          <w:cols w:space="708"/>
        </w:sectPr>
      </w:pPr>
    </w:p>
    <w:p w14:paraId="5C56F404" w14:textId="77777777" w:rsidR="008E3801" w:rsidRPr="00FD3298" w:rsidRDefault="008E3801">
      <w:pPr>
        <w:pStyle w:val="Tekstpodstawowy"/>
        <w:spacing w:before="39"/>
        <w:ind w:left="0"/>
        <w:jc w:val="left"/>
        <w:rPr>
          <w:sz w:val="32"/>
          <w:lang w:val="pl-PL"/>
        </w:rPr>
      </w:pPr>
    </w:p>
    <w:p w14:paraId="0EDC25E8" w14:textId="77777777" w:rsidR="008E3801" w:rsidRDefault="00000000">
      <w:pPr>
        <w:ind w:left="732"/>
        <w:rPr>
          <w:b/>
          <w:sz w:val="32"/>
        </w:rPr>
      </w:pPr>
      <w:r>
        <w:rPr>
          <w:b/>
          <w:color w:val="2C2C2C"/>
          <w:sz w:val="30"/>
        </w:rPr>
        <w:t xml:space="preserve">KLUCZOWE </w:t>
      </w:r>
      <w:r>
        <w:rPr>
          <w:b/>
          <w:color w:val="2C2C2C"/>
          <w:spacing w:val="-2"/>
          <w:sz w:val="30"/>
        </w:rPr>
        <w:t xml:space="preserve">ODNIESIENIA DO </w:t>
      </w:r>
      <w:r>
        <w:rPr>
          <w:b/>
          <w:color w:val="2C2C2C"/>
          <w:sz w:val="30"/>
        </w:rPr>
        <w:t>ORZECZNICTWA</w:t>
      </w:r>
    </w:p>
    <w:p w14:paraId="2EA6F0B3" w14:textId="77777777" w:rsidR="008E3801" w:rsidRDefault="008E3801">
      <w:pPr>
        <w:pStyle w:val="Tekstpodstawowy"/>
        <w:spacing w:before="118"/>
        <w:ind w:left="0"/>
        <w:jc w:val="left"/>
        <w:rPr>
          <w:b/>
          <w:sz w:val="32"/>
        </w:rPr>
      </w:pPr>
    </w:p>
    <w:p w14:paraId="556CDE70" w14:textId="7AF14A2A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left="1298" w:right="731"/>
        <w:rPr>
          <w:lang w:val="pl-PL"/>
        </w:rPr>
      </w:pPr>
      <w:hyperlink r:id="rId72">
        <w:r w:rsidRPr="00FD3298">
          <w:rPr>
            <w:i/>
            <w:color w:val="0072BC"/>
            <w:sz w:val="20"/>
            <w:lang w:val="pl-PL"/>
          </w:rPr>
          <w:t>Babjak i Inni przeciwko Słowacji</w:t>
        </w:r>
      </w:hyperlink>
      <w:r w:rsidR="00000000" w:rsidRPr="00FD3298">
        <w:rPr>
          <w:sz w:val="20"/>
          <w:lang w:val="pl-PL"/>
        </w:rPr>
        <w:t xml:space="preserve"> (dec.), nr 73693/01, 30 marca 2004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środków odwoławczych);</w:t>
      </w:r>
    </w:p>
    <w:p w14:paraId="4C9E5F9B" w14:textId="2D6F2F9A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73">
        <w:r w:rsidRPr="00FD3298">
          <w:rPr>
            <w:i/>
            <w:color w:val="0072BC"/>
            <w:sz w:val="20"/>
            <w:lang w:val="pl-PL"/>
          </w:rPr>
          <w:t>Arrigo i Vella przeciwko</w:t>
        </w:r>
      </w:hyperlink>
      <w:r w:rsidR="00000000" w:rsidRPr="00FD3298">
        <w:rPr>
          <w:i/>
          <w:color w:val="0072BC"/>
          <w:sz w:val="20"/>
          <w:lang w:val="pl-PL"/>
        </w:rPr>
        <w:t xml:space="preserve"> Malcie </w:t>
      </w:r>
      <w:r w:rsidR="00000000" w:rsidRPr="00FD3298">
        <w:rPr>
          <w:sz w:val="20"/>
          <w:lang w:val="pl-PL"/>
        </w:rPr>
        <w:t>(dec.), nr 6569/04, 10 maja 2005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 są już ofiarami</w:t>
      </w:r>
      <w:r w:rsidR="00000000" w:rsidRPr="00FD3298">
        <w:rPr>
          <w:spacing w:val="-2"/>
          <w:sz w:val="20"/>
          <w:lang w:val="pl-PL"/>
        </w:rPr>
        <w:t>);</w:t>
      </w:r>
    </w:p>
    <w:p w14:paraId="72C68CE1" w14:textId="5293016B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74">
        <w:r w:rsidRPr="00FD3298">
          <w:rPr>
            <w:i/>
            <w:color w:val="0072BC"/>
            <w:sz w:val="20"/>
            <w:lang w:val="pl-PL"/>
          </w:rPr>
          <w:t>Matijašević przeciwko Serbii</w:t>
        </w:r>
      </w:hyperlink>
      <w:r w:rsidR="00000000" w:rsidRPr="00FD3298">
        <w:rPr>
          <w:sz w:val="20"/>
          <w:lang w:val="pl-PL"/>
        </w:rPr>
        <w:t>, nr 23037/04, E</w:t>
      </w:r>
      <w:r w:rsidR="0007388F" w:rsidRPr="00FD3298">
        <w:rPr>
          <w:sz w:val="20"/>
          <w:lang w:val="pl-PL"/>
        </w:rPr>
        <w:t>TPC</w:t>
      </w:r>
      <w:r w:rsidR="00000000" w:rsidRPr="00FD3298">
        <w:rPr>
          <w:sz w:val="20"/>
          <w:lang w:val="pl-PL"/>
        </w:rPr>
        <w:t xml:space="preserve"> 2006-X (naruszenie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</w:t>
      </w:r>
      <w:r w:rsidR="00000000" w:rsidRPr="00FD3298">
        <w:rPr>
          <w:spacing w:val="-5"/>
          <w:sz w:val="20"/>
          <w:lang w:val="pl-PL"/>
        </w:rPr>
        <w:t>2);</w:t>
      </w:r>
    </w:p>
    <w:p w14:paraId="46179032" w14:textId="59FEFEED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75">
        <w:r w:rsidRPr="00FD3298">
          <w:rPr>
            <w:i/>
            <w:color w:val="0072BC"/>
            <w:sz w:val="20"/>
            <w:lang w:val="pl-PL"/>
          </w:rPr>
          <w:t>Marchiani przeciwko Francji</w:t>
        </w:r>
      </w:hyperlink>
      <w:r w:rsidR="00000000" w:rsidRPr="00FD3298">
        <w:rPr>
          <w:sz w:val="20"/>
          <w:lang w:val="pl-PL"/>
        </w:rPr>
        <w:t xml:space="preserve"> (dec.), nr 30392/03, 27 maja 2008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środków odwoławczych);</w:t>
      </w:r>
    </w:p>
    <w:p w14:paraId="11039CC4" w14:textId="686ECAD0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76">
        <w:r w:rsidRPr="00FD3298">
          <w:rPr>
            <w:i/>
            <w:color w:val="0072BC"/>
            <w:sz w:val="20"/>
            <w:lang w:val="pl-PL"/>
          </w:rPr>
          <w:t>Peša przeciwko Chorwacji</w:t>
        </w:r>
      </w:hyperlink>
      <w:r w:rsidR="00000000" w:rsidRPr="00FD3298">
        <w:rPr>
          <w:sz w:val="20"/>
          <w:lang w:val="pl-PL"/>
        </w:rPr>
        <w:t xml:space="preserve">, nr 40523/08, 8 kwietnia 2010 r. (naruszenie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</w:t>
      </w:r>
      <w:r w:rsidR="00000000" w:rsidRPr="00FD3298">
        <w:rPr>
          <w:spacing w:val="-5"/>
          <w:sz w:val="20"/>
          <w:lang w:val="pl-PL"/>
        </w:rPr>
        <w:t>2);</w:t>
      </w:r>
    </w:p>
    <w:p w14:paraId="52A1D36F" w14:textId="05B40C8A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77">
        <w:r w:rsidRPr="00FD3298">
          <w:rPr>
            <w:i/>
            <w:color w:val="0072BC"/>
            <w:sz w:val="20"/>
            <w:lang w:val="pl-PL"/>
          </w:rPr>
          <w:t>Znaykin przeciwko Ukrainie</w:t>
        </w:r>
      </w:hyperlink>
      <w:r w:rsidR="00000000" w:rsidRPr="00FD3298">
        <w:rPr>
          <w:sz w:val="20"/>
          <w:lang w:val="pl-PL"/>
        </w:rPr>
        <w:t>, nr 37538/05, 7 października 2010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środków odwoławczych);</w:t>
      </w:r>
    </w:p>
    <w:p w14:paraId="25392710" w14:textId="1027149B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78">
        <w:r w:rsidRPr="00FD3298">
          <w:rPr>
            <w:i/>
            <w:color w:val="0072BC"/>
            <w:sz w:val="20"/>
            <w:lang w:val="pl-PL"/>
          </w:rPr>
          <w:t>Konstas przeciwko Grecji</w:t>
        </w:r>
      </w:hyperlink>
      <w:r w:rsidR="00000000" w:rsidRPr="00FD3298">
        <w:rPr>
          <w:sz w:val="20"/>
          <w:lang w:val="pl-PL"/>
        </w:rPr>
        <w:t xml:space="preserve">, nr 53466/07, 24 maja 2011 r. (naruszenie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2 w odniesieniu do oświadczeń wiceministra finansów i ministra sprawiedliwości oraz brak naruszenia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2 w odniesieniu do oświadczeń premiera);</w:t>
      </w:r>
    </w:p>
    <w:p w14:paraId="1C9C4D35" w14:textId="4334068F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79">
        <w:r w:rsidRPr="00FD3298">
          <w:rPr>
            <w:i/>
            <w:color w:val="0072BC"/>
            <w:sz w:val="20"/>
            <w:lang w:val="pl-PL"/>
          </w:rPr>
          <w:t>Panasyuk przeciwko Ukrainie</w:t>
        </w:r>
      </w:hyperlink>
      <w:r w:rsidR="00000000" w:rsidRPr="00FD3298">
        <w:rPr>
          <w:sz w:val="20"/>
          <w:lang w:val="pl-PL"/>
        </w:rPr>
        <w:t xml:space="preserve"> (dec.), nr 19906/04, 23 sierpnia 2011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termin sześciu miesięcy</w:t>
      </w:r>
      <w:r w:rsidR="00000000" w:rsidRPr="00FD3298">
        <w:rPr>
          <w:spacing w:val="-2"/>
          <w:sz w:val="20"/>
          <w:lang w:val="pl-PL"/>
        </w:rPr>
        <w:t>);</w:t>
      </w:r>
    </w:p>
    <w:p w14:paraId="334AAD2A" w14:textId="6F567156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80">
        <w:r w:rsidRPr="00FD3298">
          <w:rPr>
            <w:i/>
            <w:color w:val="0072BC"/>
            <w:sz w:val="20"/>
            <w:lang w:val="pl-PL"/>
          </w:rPr>
          <w:t>Hajnal przeciwko Serbii</w:t>
        </w:r>
      </w:hyperlink>
      <w:r w:rsidR="00000000" w:rsidRPr="00FD3298">
        <w:rPr>
          <w:sz w:val="20"/>
          <w:lang w:val="pl-PL"/>
        </w:rPr>
        <w:t xml:space="preserve">, nr 36937/06, 19 czerwca 2012 r. (naruszenie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</w:t>
      </w:r>
      <w:r w:rsidR="00000000" w:rsidRPr="00FD3298">
        <w:rPr>
          <w:spacing w:val="-5"/>
          <w:sz w:val="20"/>
          <w:lang w:val="pl-PL"/>
        </w:rPr>
        <w:t>2);</w:t>
      </w:r>
    </w:p>
    <w:p w14:paraId="52E205F7" w14:textId="5365846E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81">
        <w:r w:rsidRPr="00FD3298">
          <w:rPr>
            <w:i/>
            <w:color w:val="0072BC"/>
            <w:sz w:val="20"/>
            <w:lang w:val="pl-PL"/>
          </w:rPr>
          <w:t>Gutsanovi przeciwko Bułgarii</w:t>
        </w:r>
      </w:hyperlink>
      <w:r w:rsidR="00000000" w:rsidRPr="00FD3298">
        <w:rPr>
          <w:sz w:val="20"/>
          <w:lang w:val="pl-PL"/>
        </w:rPr>
        <w:t>, nr 34529/10, E</w:t>
      </w:r>
      <w:r w:rsidR="0007388F" w:rsidRPr="00FD3298">
        <w:rPr>
          <w:sz w:val="20"/>
          <w:lang w:val="pl-PL"/>
        </w:rPr>
        <w:t>TPC</w:t>
      </w:r>
      <w:r w:rsidR="00000000" w:rsidRPr="00FD3298">
        <w:rPr>
          <w:sz w:val="20"/>
          <w:lang w:val="pl-PL"/>
        </w:rPr>
        <w:t xml:space="preserve"> 2013 (naruszenie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</w:t>
      </w:r>
      <w:r w:rsidR="00000000" w:rsidRPr="00FD3298">
        <w:rPr>
          <w:spacing w:val="-5"/>
          <w:sz w:val="20"/>
          <w:lang w:val="pl-PL"/>
        </w:rPr>
        <w:t>2);</w:t>
      </w:r>
    </w:p>
    <w:p w14:paraId="440BA92D" w14:textId="382CD40F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82">
        <w:r w:rsidRPr="00FD3298">
          <w:rPr>
            <w:i/>
            <w:color w:val="0072BC"/>
            <w:sz w:val="20"/>
            <w:lang w:val="pl-PL"/>
          </w:rPr>
          <w:t>Lakatoš i Inni przeciwko Serbii</w:t>
        </w:r>
      </w:hyperlink>
      <w:r w:rsidR="00000000" w:rsidRPr="00FD3298">
        <w:rPr>
          <w:sz w:val="20"/>
          <w:lang w:val="pl-PL"/>
        </w:rPr>
        <w:t>, nr</w:t>
      </w:r>
      <w:r w:rsidR="0007388F" w:rsidRPr="00FD3298">
        <w:rPr>
          <w:sz w:val="20"/>
          <w:lang w:val="pl-PL"/>
        </w:rPr>
        <w:t xml:space="preserve"> </w:t>
      </w:r>
      <w:r w:rsidR="00000000" w:rsidRPr="00FD3298">
        <w:rPr>
          <w:sz w:val="20"/>
          <w:lang w:val="pl-PL"/>
        </w:rPr>
        <w:t>3363/08, 7 stycznia 2014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środków odwoławczych);</w:t>
      </w:r>
    </w:p>
    <w:p w14:paraId="0E65F207" w14:textId="0D67ECE7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83">
        <w:r w:rsidRPr="00FD3298">
          <w:rPr>
            <w:i/>
            <w:color w:val="0072BC"/>
            <w:sz w:val="20"/>
            <w:lang w:val="pl-PL"/>
          </w:rPr>
          <w:t>Neagoe przeciwko Rumunii</w:t>
        </w:r>
      </w:hyperlink>
      <w:r w:rsidR="00000000" w:rsidRPr="00FD3298">
        <w:rPr>
          <w:sz w:val="20"/>
          <w:lang w:val="pl-PL"/>
        </w:rPr>
        <w:t>, nr 23319/08, 21 lipca 2015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termin sześciu miesięcy</w:t>
      </w:r>
      <w:r w:rsidR="00000000" w:rsidRPr="00FD3298">
        <w:rPr>
          <w:spacing w:val="-2"/>
          <w:sz w:val="20"/>
          <w:lang w:val="pl-PL"/>
        </w:rPr>
        <w:t>);</w:t>
      </w:r>
    </w:p>
    <w:p w14:paraId="78029F60" w14:textId="23467B74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84">
        <w:r w:rsidRPr="00FD3298">
          <w:rPr>
            <w:i/>
            <w:color w:val="0072BC"/>
            <w:sz w:val="20"/>
            <w:lang w:val="pl-PL"/>
          </w:rPr>
          <w:t>Paulikas przeciwko Litwie</w:t>
        </w:r>
      </w:hyperlink>
      <w:r w:rsidR="00000000" w:rsidRPr="00FD3298">
        <w:rPr>
          <w:sz w:val="20"/>
          <w:lang w:val="pl-PL"/>
        </w:rPr>
        <w:t xml:space="preserve">, nr 57435/09, 24 stycznia 2017 r. (brak naruszenia art. 6 </w:t>
      </w:r>
      <w:r w:rsidR="0096001B">
        <w:rPr>
          <w:sz w:val="20"/>
          <w:lang w:val="pl-PL"/>
        </w:rPr>
        <w:t xml:space="preserve">ust. </w:t>
      </w:r>
      <w:r w:rsidR="00000000" w:rsidRPr="00FD3298">
        <w:rPr>
          <w:sz w:val="20"/>
          <w:lang w:val="pl-PL"/>
        </w:rPr>
        <w:t xml:space="preserve">1 i </w:t>
      </w:r>
      <w:r w:rsidR="00000000" w:rsidRPr="00FD3298">
        <w:rPr>
          <w:spacing w:val="-5"/>
          <w:sz w:val="20"/>
          <w:lang w:val="pl-PL"/>
        </w:rPr>
        <w:t>2);</w:t>
      </w:r>
    </w:p>
    <w:p w14:paraId="17A925DB" w14:textId="35ED4590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85">
        <w:r w:rsidRPr="00FD3298">
          <w:rPr>
            <w:i/>
            <w:color w:val="0072BC"/>
            <w:sz w:val="20"/>
            <w:lang w:val="pl-PL"/>
          </w:rPr>
          <w:t>Bivolaru przeciwko Rumunii</w:t>
        </w:r>
      </w:hyperlink>
      <w:r w:rsidR="00000000" w:rsidRPr="00FD3298">
        <w:rPr>
          <w:sz w:val="20"/>
          <w:lang w:val="pl-PL"/>
        </w:rPr>
        <w:t xml:space="preserve">, nr 28796/04, 28 lutego 2017 r. (naruszenie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</w:t>
      </w:r>
      <w:r w:rsidR="00000000" w:rsidRPr="00FD3298">
        <w:rPr>
          <w:spacing w:val="-5"/>
          <w:sz w:val="20"/>
          <w:lang w:val="pl-PL"/>
        </w:rPr>
        <w:t>2);</w:t>
      </w:r>
    </w:p>
    <w:p w14:paraId="4F1DFF53" w14:textId="0E72EBE2" w:rsidR="008E3801" w:rsidRPr="00FD3298" w:rsidRDefault="008E3801" w:rsidP="00FD3298">
      <w:pPr>
        <w:pStyle w:val="Tekstpodstawowy"/>
        <w:numPr>
          <w:ilvl w:val="0"/>
          <w:numId w:val="1"/>
        </w:numPr>
        <w:ind w:left="1298" w:right="731"/>
        <w:rPr>
          <w:sz w:val="20"/>
          <w:szCs w:val="20"/>
          <w:lang w:val="pl-PL"/>
        </w:rPr>
      </w:pPr>
      <w:hyperlink r:id="rId86">
        <w:r w:rsidRPr="00FD3298">
          <w:rPr>
            <w:i/>
            <w:color w:val="0072BC"/>
            <w:sz w:val="20"/>
            <w:szCs w:val="20"/>
            <w:lang w:val="pl-PL"/>
          </w:rPr>
          <w:t>Januškevičienė przeciwko Litwie</w:t>
        </w:r>
      </w:hyperlink>
      <w:r w:rsidR="00000000" w:rsidRPr="00FD3298">
        <w:rPr>
          <w:sz w:val="20"/>
          <w:szCs w:val="20"/>
          <w:lang w:val="pl-PL"/>
        </w:rPr>
        <w:t>, nr 69717/14, 3 września 2019 r. (niedopuszczaln</w:t>
      </w:r>
      <w:r w:rsidR="0096001B">
        <w:rPr>
          <w:sz w:val="20"/>
          <w:szCs w:val="20"/>
          <w:lang w:val="pl-PL"/>
        </w:rPr>
        <w:t>a</w:t>
      </w:r>
      <w:r w:rsidR="00000000" w:rsidRPr="00FD3298">
        <w:rPr>
          <w:sz w:val="20"/>
          <w:szCs w:val="20"/>
          <w:lang w:val="pl-PL"/>
        </w:rPr>
        <w:t xml:space="preserve"> - niewyczerpanie krajowych środków odwoławczych);</w:t>
      </w:r>
    </w:p>
    <w:p w14:paraId="4CD8F8E8" w14:textId="4EB1B419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87">
        <w:r w:rsidRPr="00FD3298">
          <w:rPr>
            <w:i/>
            <w:color w:val="0072BC"/>
            <w:sz w:val="20"/>
            <w:lang w:val="pl-PL"/>
          </w:rPr>
          <w:t>Batiashvili przeciwko Gruzji</w:t>
        </w:r>
      </w:hyperlink>
      <w:r w:rsidR="00000000" w:rsidRPr="00FD3298">
        <w:rPr>
          <w:sz w:val="20"/>
          <w:lang w:val="pl-PL"/>
        </w:rPr>
        <w:t>, nr 8284/07, 10 października 2019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z powodu niewyczerpania w odniesieniu do oświadczeń członków parlamentu, 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i 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2 w odniesieniu do rozpowszechniania nagrania audio skarżącego przez władze państwowe);</w:t>
      </w:r>
    </w:p>
    <w:p w14:paraId="3AD1A962" w14:textId="301A656C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88">
        <w:r w:rsidRPr="00FD3298">
          <w:rPr>
            <w:i/>
            <w:color w:val="0072BC"/>
            <w:sz w:val="20"/>
            <w:lang w:val="pl-PL"/>
          </w:rPr>
          <w:t>Kasatkin przeciwko Rosji</w:t>
        </w:r>
      </w:hyperlink>
      <w:r w:rsidR="00000000" w:rsidRPr="00FD3298">
        <w:rPr>
          <w:sz w:val="20"/>
          <w:lang w:val="pl-PL"/>
        </w:rPr>
        <w:t xml:space="preserve"> (dec.) nr 53672/14, 22 czerwca 2021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termin sześciu miesięcy</w:t>
      </w:r>
      <w:r w:rsidR="00000000" w:rsidRPr="00FD3298">
        <w:rPr>
          <w:spacing w:val="-2"/>
          <w:sz w:val="20"/>
          <w:lang w:val="pl-PL"/>
        </w:rPr>
        <w:t>);</w:t>
      </w:r>
    </w:p>
    <w:p w14:paraId="185BEAEC" w14:textId="32C1E955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89">
        <w:r w:rsidRPr="00FD3298">
          <w:rPr>
            <w:i/>
            <w:color w:val="0072BC"/>
            <w:sz w:val="20"/>
            <w:lang w:val="pl-PL"/>
          </w:rPr>
          <w:t>Benghezal przeciwko Francji</w:t>
        </w:r>
      </w:hyperlink>
      <w:r w:rsidR="00000000" w:rsidRPr="00FD3298">
        <w:rPr>
          <w:sz w:val="20"/>
          <w:lang w:val="pl-PL"/>
        </w:rPr>
        <w:t xml:space="preserve">, nr 48045/15, 24 marca 2022 r. (brak naruszenia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</w:t>
      </w:r>
      <w:r w:rsidR="00000000" w:rsidRPr="00FD3298">
        <w:rPr>
          <w:spacing w:val="-5"/>
          <w:sz w:val="20"/>
          <w:lang w:val="pl-PL"/>
        </w:rPr>
        <w:t>2);</w:t>
      </w:r>
    </w:p>
    <w:p w14:paraId="19501CCE" w14:textId="505DFF3E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90">
        <w:r w:rsidRPr="00FD3298">
          <w:rPr>
            <w:i/>
            <w:color w:val="0072BC"/>
            <w:sz w:val="20"/>
            <w:lang w:val="pl-PL"/>
          </w:rPr>
          <w:t>Mamaladze przeciwko Gruzji</w:t>
        </w:r>
      </w:hyperlink>
      <w:r w:rsidR="00000000" w:rsidRPr="00FD3298">
        <w:rPr>
          <w:sz w:val="20"/>
          <w:lang w:val="pl-PL"/>
        </w:rPr>
        <w:t xml:space="preserve">, nr 9487/19, 3 listopada 2022 r. (naruszenie art. 6 </w:t>
      </w:r>
      <w:r w:rsidR="0096001B">
        <w:rPr>
          <w:sz w:val="20"/>
          <w:lang w:val="pl-PL"/>
        </w:rPr>
        <w:t>ust.</w:t>
      </w:r>
      <w:r w:rsidR="00000000" w:rsidRPr="00FD3298">
        <w:rPr>
          <w:sz w:val="20"/>
          <w:lang w:val="pl-PL"/>
        </w:rPr>
        <w:t xml:space="preserve"> </w:t>
      </w:r>
      <w:r w:rsidR="00000000" w:rsidRPr="00FD3298">
        <w:rPr>
          <w:spacing w:val="-5"/>
          <w:sz w:val="20"/>
          <w:lang w:val="pl-PL"/>
        </w:rPr>
        <w:t>2);</w:t>
      </w:r>
    </w:p>
    <w:p w14:paraId="316DBFBD" w14:textId="7B1B11A0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91">
        <w:r w:rsidRPr="00FD3298">
          <w:rPr>
            <w:i/>
            <w:color w:val="0072BC"/>
            <w:sz w:val="20"/>
            <w:lang w:val="pl-PL"/>
          </w:rPr>
          <w:t>Okropiridze przeciwko Gruzji</w:t>
        </w:r>
      </w:hyperlink>
      <w:r w:rsidR="00000000" w:rsidRPr="00FD3298">
        <w:rPr>
          <w:sz w:val="20"/>
          <w:lang w:val="pl-PL"/>
        </w:rPr>
        <w:t>, nr 43627/16 i 71667/16, 7 września 2023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środków odwoławczych);</w:t>
      </w:r>
    </w:p>
    <w:p w14:paraId="5A617247" w14:textId="49154061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92">
        <w:r w:rsidRPr="00FD3298">
          <w:rPr>
            <w:i/>
            <w:color w:val="0072BC"/>
            <w:sz w:val="20"/>
            <w:lang w:val="pl-PL"/>
          </w:rPr>
          <w:t>Rimšēvičs przeciwko Łotwie</w:t>
        </w:r>
      </w:hyperlink>
      <w:r w:rsidR="00000000" w:rsidRPr="00FD3298">
        <w:rPr>
          <w:sz w:val="20"/>
          <w:lang w:val="pl-PL"/>
        </w:rPr>
        <w:t xml:space="preserve"> (dec.), nr 31634/18, 10 października 2023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środków odwoławczych);</w:t>
      </w:r>
    </w:p>
    <w:p w14:paraId="6769E59B" w14:textId="492AF8E8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sz w:val="20"/>
          <w:szCs w:val="20"/>
          <w:lang w:val="pl-PL"/>
        </w:rPr>
      </w:pPr>
      <w:hyperlink r:id="rId93">
        <w:r w:rsidRPr="00FD3298">
          <w:rPr>
            <w:i/>
            <w:color w:val="0072BC"/>
            <w:sz w:val="20"/>
            <w:lang w:val="pl-PL"/>
          </w:rPr>
          <w:t>Nadir Yıldırım i Inni przeciwko Turcji</w:t>
        </w:r>
      </w:hyperlink>
      <w:r w:rsidR="00000000" w:rsidRPr="00FD3298">
        <w:rPr>
          <w:sz w:val="20"/>
          <w:lang w:val="pl-PL"/>
        </w:rPr>
        <w:t>, nr 39712/16, 28 listopada 2023 r. (</w:t>
      </w:r>
      <w:r w:rsidR="00000000" w:rsidRPr="00FD3298">
        <w:rPr>
          <w:sz w:val="20"/>
          <w:szCs w:val="20"/>
          <w:lang w:val="pl-PL"/>
        </w:rPr>
        <w:t xml:space="preserve">naruszenie art. 6 </w:t>
      </w:r>
      <w:r w:rsidR="0096001B">
        <w:rPr>
          <w:sz w:val="20"/>
          <w:szCs w:val="20"/>
          <w:lang w:val="pl-PL"/>
        </w:rPr>
        <w:t>ust.</w:t>
      </w:r>
      <w:r w:rsidR="00000000" w:rsidRPr="00FD3298">
        <w:rPr>
          <w:sz w:val="20"/>
          <w:szCs w:val="20"/>
          <w:lang w:val="pl-PL"/>
        </w:rPr>
        <w:t xml:space="preserve"> 2);</w:t>
      </w:r>
    </w:p>
    <w:p w14:paraId="649A6703" w14:textId="40111BA9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94">
        <w:r w:rsidRPr="00FD3298">
          <w:rPr>
            <w:i/>
            <w:color w:val="0072BC"/>
            <w:sz w:val="20"/>
            <w:lang w:val="pl-PL"/>
          </w:rPr>
          <w:t>Narbutas przeciwko Litwie</w:t>
        </w:r>
      </w:hyperlink>
      <w:r w:rsidR="00000000" w:rsidRPr="00FD3298">
        <w:rPr>
          <w:sz w:val="20"/>
          <w:lang w:val="pl-PL"/>
        </w:rPr>
        <w:t>, nr 14139/21, 19 grudnia 2023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środków odwoławczych);</w:t>
      </w:r>
    </w:p>
    <w:p w14:paraId="126EDA06" w14:textId="338CB7AA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3"/>
        </w:tabs>
        <w:ind w:left="1298" w:right="731"/>
        <w:rPr>
          <w:lang w:val="pl-PL"/>
        </w:rPr>
      </w:pPr>
      <w:hyperlink r:id="rId95">
        <w:r w:rsidRPr="00FD3298">
          <w:rPr>
            <w:i/>
            <w:color w:val="0072BC"/>
            <w:sz w:val="20"/>
            <w:lang w:val="pl-PL"/>
          </w:rPr>
          <w:t>Rytikov przeciwko Ukrainie</w:t>
        </w:r>
      </w:hyperlink>
      <w:r w:rsidR="00000000" w:rsidRPr="00FD3298">
        <w:rPr>
          <w:sz w:val="20"/>
          <w:lang w:val="pl-PL"/>
        </w:rPr>
        <w:t>, nr 52855/19, 23 maja 2024 r. (niedopuszczaln</w:t>
      </w:r>
      <w:r w:rsidR="0096001B">
        <w:rPr>
          <w:sz w:val="20"/>
          <w:lang w:val="pl-PL"/>
        </w:rPr>
        <w:t>a</w:t>
      </w:r>
      <w:r w:rsidR="00000000" w:rsidRPr="00FD3298">
        <w:rPr>
          <w:sz w:val="20"/>
          <w:lang w:val="pl-PL"/>
        </w:rPr>
        <w:t xml:space="preserve"> - niewyczerpanie krajowych </w:t>
      </w:r>
      <w:r w:rsidR="00000000" w:rsidRPr="00FD3298">
        <w:rPr>
          <w:spacing w:val="-2"/>
          <w:sz w:val="20"/>
          <w:lang w:val="pl-PL"/>
        </w:rPr>
        <w:t>środków odwoławczych);</w:t>
      </w:r>
    </w:p>
    <w:p w14:paraId="41AEDC4A" w14:textId="47382117" w:rsidR="008E3801" w:rsidRPr="00FD3298" w:rsidRDefault="008E3801" w:rsidP="00FD3298">
      <w:pPr>
        <w:pStyle w:val="Akapitzlist"/>
        <w:numPr>
          <w:ilvl w:val="0"/>
          <w:numId w:val="1"/>
        </w:numPr>
        <w:tabs>
          <w:tab w:val="left" w:pos="1582"/>
        </w:tabs>
        <w:ind w:left="1298" w:right="731" w:hanging="283"/>
        <w:rPr>
          <w:lang w:val="pl-PL"/>
        </w:rPr>
      </w:pPr>
      <w:hyperlink r:id="rId96">
        <w:r w:rsidRPr="00FD3298">
          <w:rPr>
            <w:i/>
            <w:color w:val="0072BC"/>
            <w:sz w:val="20"/>
            <w:lang w:val="pl-PL"/>
          </w:rPr>
          <w:t>Machalický przeciwko Republice Czeskiej</w:t>
        </w:r>
      </w:hyperlink>
      <w:r w:rsidR="00000000" w:rsidRPr="00FD3298">
        <w:rPr>
          <w:sz w:val="20"/>
          <w:lang w:val="pl-PL"/>
        </w:rPr>
        <w:t xml:space="preserve">, nr 42760/16, 10 października 2024 r. (naruszenie art. 6 </w:t>
      </w:r>
      <w:r w:rsidR="0096001B">
        <w:rPr>
          <w:sz w:val="20"/>
          <w:lang w:val="pl-PL"/>
        </w:rPr>
        <w:t xml:space="preserve">ust. </w:t>
      </w:r>
      <w:r w:rsidR="00000000" w:rsidRPr="00FD3298">
        <w:rPr>
          <w:spacing w:val="-5"/>
          <w:sz w:val="20"/>
          <w:lang w:val="pl-PL"/>
        </w:rPr>
        <w:t>2);</w:t>
      </w:r>
    </w:p>
    <w:p w14:paraId="6C45E0FE" w14:textId="77777777" w:rsidR="008E3801" w:rsidRPr="00FD3298" w:rsidRDefault="008E3801">
      <w:pPr>
        <w:pStyle w:val="Akapitzlist"/>
        <w:jc w:val="left"/>
        <w:rPr>
          <w:lang w:val="pl-PL"/>
        </w:rPr>
        <w:sectPr w:rsidR="008E3801" w:rsidRPr="00FD3298">
          <w:pgSz w:w="11910" w:h="16840"/>
          <w:pgMar w:top="1160" w:right="708" w:bottom="860" w:left="708" w:header="759" w:footer="677" w:gutter="0"/>
          <w:cols w:space="708"/>
        </w:sectPr>
      </w:pPr>
    </w:p>
    <w:p w14:paraId="4FD54F82" w14:textId="77777777" w:rsidR="008E3801" w:rsidRPr="00FD3298" w:rsidRDefault="008E3801">
      <w:pPr>
        <w:pStyle w:val="Tekstpodstawowy"/>
        <w:spacing w:before="161"/>
        <w:ind w:left="0"/>
        <w:jc w:val="left"/>
        <w:rPr>
          <w:lang w:val="pl-PL"/>
        </w:rPr>
      </w:pPr>
    </w:p>
    <w:p w14:paraId="455802F8" w14:textId="57AAFE55" w:rsidR="008E3801" w:rsidRPr="00FD3298" w:rsidRDefault="008E3801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right="730"/>
        <w:jc w:val="left"/>
        <w:rPr>
          <w:lang w:val="pl-PL"/>
        </w:rPr>
      </w:pPr>
      <w:hyperlink r:id="rId97">
        <w:r w:rsidRPr="00FD3298">
          <w:rPr>
            <w:i/>
            <w:color w:val="0072BC"/>
            <w:sz w:val="20"/>
            <w:lang w:val="pl-PL"/>
          </w:rPr>
          <w:t>Alperin przeciwko Ukrainie</w:t>
        </w:r>
      </w:hyperlink>
      <w:r w:rsidRPr="00FD3298">
        <w:rPr>
          <w:sz w:val="20"/>
          <w:lang w:val="pl-PL"/>
        </w:rPr>
        <w:t>, nr</w:t>
      </w:r>
      <w:r w:rsidR="00820EB7" w:rsidRPr="00FD3298">
        <w:rPr>
          <w:sz w:val="20"/>
          <w:lang w:val="pl-PL"/>
        </w:rPr>
        <w:t xml:space="preserve"> </w:t>
      </w:r>
      <w:r w:rsidRPr="00FD3298">
        <w:rPr>
          <w:sz w:val="20"/>
          <w:lang w:val="pl-PL"/>
        </w:rPr>
        <w:t>41028/20, 20 października 2024 r. (niedopuszczaln</w:t>
      </w:r>
      <w:r w:rsidR="0096001B">
        <w:rPr>
          <w:sz w:val="20"/>
          <w:lang w:val="pl-PL"/>
        </w:rPr>
        <w:t>a</w:t>
      </w:r>
      <w:r w:rsidRPr="00FD3298">
        <w:rPr>
          <w:sz w:val="20"/>
          <w:lang w:val="pl-PL"/>
        </w:rPr>
        <w:t>- niewyczerpanie krajowych środków odwoławczych);</w:t>
      </w:r>
    </w:p>
    <w:p w14:paraId="5C76CEA4" w14:textId="14B4BCD0" w:rsidR="008E3801" w:rsidRPr="00FD3298" w:rsidRDefault="008E3801">
      <w:pPr>
        <w:pStyle w:val="Akapitzlist"/>
        <w:numPr>
          <w:ilvl w:val="0"/>
          <w:numId w:val="1"/>
        </w:numPr>
        <w:tabs>
          <w:tab w:val="left" w:pos="1583"/>
        </w:tabs>
        <w:ind w:right="730"/>
        <w:jc w:val="left"/>
        <w:rPr>
          <w:lang w:val="pl-PL"/>
        </w:rPr>
      </w:pPr>
      <w:hyperlink r:id="rId98">
        <w:r w:rsidRPr="00FD3298">
          <w:rPr>
            <w:i/>
            <w:color w:val="0072BC"/>
            <w:sz w:val="20"/>
            <w:lang w:val="pl-PL"/>
          </w:rPr>
          <w:t>Kezerashvili przeciwko Gruzji</w:t>
        </w:r>
      </w:hyperlink>
      <w:r w:rsidRPr="00FD3298">
        <w:rPr>
          <w:sz w:val="20"/>
          <w:lang w:val="pl-PL"/>
        </w:rPr>
        <w:t>, nr 11027/22, 5 grudnia 2024 r. (niedopuszczaln</w:t>
      </w:r>
      <w:r w:rsidR="0096001B">
        <w:rPr>
          <w:sz w:val="20"/>
          <w:lang w:val="pl-PL"/>
        </w:rPr>
        <w:t>a</w:t>
      </w:r>
      <w:r w:rsidRPr="00FD3298">
        <w:rPr>
          <w:sz w:val="20"/>
          <w:lang w:val="pl-PL"/>
        </w:rPr>
        <w:t xml:space="preserve"> </w:t>
      </w:r>
      <w:r w:rsidR="0096001B">
        <w:rPr>
          <w:sz w:val="20"/>
          <w:lang w:val="pl-PL"/>
        </w:rPr>
        <w:t>–</w:t>
      </w:r>
      <w:r w:rsidRPr="00FD3298">
        <w:rPr>
          <w:sz w:val="20"/>
          <w:lang w:val="pl-PL"/>
        </w:rPr>
        <w:t xml:space="preserve"> oczywiście</w:t>
      </w:r>
      <w:r w:rsidR="0096001B">
        <w:rPr>
          <w:sz w:val="20"/>
          <w:lang w:val="pl-PL"/>
        </w:rPr>
        <w:t xml:space="preserve"> </w:t>
      </w:r>
      <w:r w:rsidRPr="00FD3298">
        <w:rPr>
          <w:sz w:val="20"/>
          <w:lang w:val="pl-PL"/>
        </w:rPr>
        <w:t>bezzasadn</w:t>
      </w:r>
      <w:r w:rsidR="0096001B">
        <w:rPr>
          <w:sz w:val="20"/>
          <w:lang w:val="pl-PL"/>
        </w:rPr>
        <w:t>a</w:t>
      </w:r>
      <w:r w:rsidRPr="00FD3298">
        <w:rPr>
          <w:spacing w:val="-2"/>
          <w:sz w:val="20"/>
          <w:lang w:val="pl-PL"/>
        </w:rPr>
        <w:t>).</w:t>
      </w:r>
    </w:p>
    <w:sectPr w:rsidR="008E3801" w:rsidRPr="00FD3298">
      <w:pgSz w:w="11910" w:h="16840"/>
      <w:pgMar w:top="1160" w:right="708" w:bottom="860" w:left="708" w:header="759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3A16" w14:textId="77777777" w:rsidR="00774A22" w:rsidRDefault="00774A22">
      <w:r>
        <w:separator/>
      </w:r>
    </w:p>
  </w:endnote>
  <w:endnote w:type="continuationSeparator" w:id="0">
    <w:p w14:paraId="080AC68A" w14:textId="77777777" w:rsidR="00774A22" w:rsidRDefault="0077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780" w14:textId="77777777" w:rsidR="008E3801" w:rsidRDefault="00000000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878AB2A" wp14:editId="584B4CB6">
              <wp:simplePos x="0" y="0"/>
              <wp:positionH relativeFrom="page">
                <wp:posOffset>482600</wp:posOffset>
              </wp:positionH>
              <wp:positionV relativeFrom="page">
                <wp:posOffset>10085628</wp:posOffset>
              </wp:positionV>
              <wp:extent cx="6595745" cy="19050"/>
              <wp:effectExtent l="0" t="0" r="0" b="0"/>
              <wp:wrapNone/>
              <wp:docPr id="10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57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5745" h="19050">
                            <a:moveTo>
                              <a:pt x="6595744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595744" y="0"/>
                            </a:lnTo>
                            <a:lnTo>
                              <a:pt x="6595744" y="1905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7DD767C" id="Graphic 10" o:spid="_x0000_s1026" style="position:absolute;margin-left:38pt;margin-top:794.15pt;width:519.35pt;height:1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57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" path="m6595744,19050l,19050,,,6595744,r,19050xe" fillcolor="#a0a0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BCAD5E1" wp14:editId="0F7C0AEF">
              <wp:simplePos x="0" y="0"/>
              <wp:positionH relativeFrom="page">
                <wp:posOffset>3658882</wp:posOffset>
              </wp:positionH>
              <wp:positionV relativeFrom="page">
                <wp:posOffset>10151973</wp:posOffset>
              </wp:positionV>
              <wp:extent cx="247015" cy="1651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D478F" w14:textId="77777777" w:rsidR="008E3801" w:rsidRDefault="00000000">
                          <w:pPr>
                            <w:pStyle w:val="Tekstpodstawowy"/>
                            <w:spacing w:before="0" w:line="244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BCAD5E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88.1pt;margin-top:799.35pt;width:19.4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" filled="f" stroked="f">
              <v:textbox inset="0,0,0,0">
                <w:txbxContent>
                  <w:p w14:paraId="27DD478F" w14:textId="77777777" w:rsidR="008E3801" w:rsidRDefault="00000000">
                    <w:pPr>
                      <w:pStyle w:val="Tekstpodstawowy"/>
                      <w:spacing w:before="0" w:line="244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D85E" w14:textId="77777777" w:rsidR="00774A22" w:rsidRDefault="00774A22">
      <w:r>
        <w:separator/>
      </w:r>
    </w:p>
  </w:footnote>
  <w:footnote w:type="continuationSeparator" w:id="0">
    <w:p w14:paraId="60D8DBEB" w14:textId="77777777" w:rsidR="00774A22" w:rsidRDefault="0077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F942" w14:textId="77777777" w:rsidR="008E3801" w:rsidRDefault="00000000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C93228F" wp14:editId="03A16F37">
              <wp:simplePos x="0" y="0"/>
              <wp:positionH relativeFrom="page">
                <wp:posOffset>469900</wp:posOffset>
              </wp:positionH>
              <wp:positionV relativeFrom="page">
                <wp:posOffset>469226</wp:posOffset>
              </wp:positionV>
              <wp:extent cx="4868545" cy="13970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85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C1F69" w14:textId="77777777" w:rsidR="008E3801" w:rsidRPr="00FD3298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  <w:lang w:val="pl-PL"/>
                            </w:rPr>
                          </w:pPr>
                          <w:r w:rsidRPr="00FD3298">
                            <w:rPr>
                              <w:sz w:val="17"/>
                              <w:lang w:val="pl-PL"/>
                            </w:rPr>
                            <w:t xml:space="preserve">Kluczowy temat - Artykuł 6 (sprawy karne) Wyczerpanie krajowych środków odwoławczych/zgodność z </w:t>
                          </w:r>
                          <w:r w:rsidRPr="00FD3298">
                            <w:rPr>
                              <w:spacing w:val="-2"/>
                              <w:sz w:val="17"/>
                              <w:lang w:val="pl-PL"/>
                            </w:rPr>
                            <w:t xml:space="preserve">czteromiesięcznym </w:t>
                          </w:r>
                          <w:r w:rsidRPr="00FD3298">
                            <w:rPr>
                              <w:sz w:val="17"/>
                              <w:lang w:val="pl-PL"/>
                            </w:rPr>
                            <w:t>terminem przedawnienia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C93228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7pt;margin-top:36.95pt;width:383.35pt;height:1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" filled="f" stroked="f">
              <v:textbox inset="0,0,0,0">
                <w:txbxContent>
                  <w:p w14:paraId="24BC1F69" w14:textId="77777777" w:rsidR="008E3801" w:rsidRPr="00FD3298" w:rsidRDefault="00000000">
                    <w:pPr>
                      <w:spacing w:line="203" w:lineRule="exact"/>
                      <w:ind w:left="20"/>
                      <w:rPr>
                        <w:sz w:val="18"/>
                        <w:lang w:val="pl-PL"/>
                      </w:rPr>
                    </w:pPr>
                    <w:r w:rsidRPr="00FD3298">
                      <w:rPr>
                        <w:sz w:val="17"/>
                        <w:lang w:val="pl-PL"/>
                      </w:rPr>
                      <w:t xml:space="preserve">Kluczowy temat - Artykuł 6 (sprawy karne) Wyczerpanie krajowych środków odwoławczych/zgodność z </w:t>
                    </w:r>
                    <w:r w:rsidRPr="00FD3298">
                      <w:rPr>
                        <w:spacing w:val="-2"/>
                        <w:sz w:val="17"/>
                        <w:lang w:val="pl-PL"/>
                      </w:rPr>
                      <w:t xml:space="preserve">czteromiesięcznym </w:t>
                    </w:r>
                    <w:r w:rsidRPr="00FD3298">
                      <w:rPr>
                        <w:sz w:val="17"/>
                        <w:lang w:val="pl-PL"/>
                      </w:rPr>
                      <w:t>terminem przedawnienia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3344B59" wp14:editId="683B8247">
              <wp:simplePos x="0" y="0"/>
              <wp:positionH relativeFrom="page">
                <wp:posOffset>6374104</wp:posOffset>
              </wp:positionH>
              <wp:positionV relativeFrom="page">
                <wp:posOffset>488677</wp:posOffset>
              </wp:positionV>
              <wp:extent cx="746125" cy="26225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A6A65" w14:textId="77777777" w:rsidR="008E3801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6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3344B59" id="Textbox 8" o:spid="_x0000_s1027" type="#_x0000_t202" style="position:absolute;margin-left:501.9pt;margin-top:38.5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" filled="f" stroked="f">
              <v:textbox inset="0,0,0,0">
                <w:txbxContent>
                  <w:p w14:paraId="08FA6A65" w14:textId="77777777" w:rsidR="008E3801" w:rsidRDefault="00000000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6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E01BBAD" wp14:editId="3389CC8A">
              <wp:simplePos x="0" y="0"/>
              <wp:positionH relativeFrom="page">
                <wp:posOffset>469900</wp:posOffset>
              </wp:positionH>
              <wp:positionV relativeFrom="page">
                <wp:posOffset>608749</wp:posOffset>
              </wp:positionV>
              <wp:extent cx="6650355" cy="13970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03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B289E" w14:textId="7721CAE8" w:rsidR="008E3801" w:rsidRPr="00A07774" w:rsidRDefault="00000000">
                          <w:pPr>
                            <w:tabs>
                              <w:tab w:val="left" w:pos="10452"/>
                            </w:tabs>
                            <w:spacing w:line="203" w:lineRule="exact"/>
                            <w:ind w:left="20"/>
                            <w:rPr>
                              <w:sz w:val="18"/>
                              <w:lang w:val="pl-PL"/>
                            </w:rPr>
                          </w:pPr>
                          <w:r w:rsidRPr="00A07774">
                            <w:rPr>
                              <w:sz w:val="17"/>
                              <w:u w:val="single" w:color="838383"/>
                              <w:lang w:val="pl-PL"/>
                            </w:rPr>
                            <w:t xml:space="preserve">reguła (przedwczesne </w:t>
                          </w:r>
                          <w:r w:rsidR="00A07774" w:rsidRPr="00A07774">
                            <w:rPr>
                              <w:sz w:val="17"/>
                              <w:u w:val="single" w:color="838383"/>
                              <w:lang w:val="pl-PL"/>
                            </w:rPr>
                            <w:t>przyznanie się do</w:t>
                          </w:r>
                          <w:r w:rsidRPr="00A07774">
                            <w:rPr>
                              <w:sz w:val="17"/>
                              <w:u w:val="single" w:color="838383"/>
                              <w:lang w:val="pl-PL"/>
                            </w:rPr>
                            <w:t xml:space="preserve"> </w:t>
                          </w:r>
                          <w:r w:rsidRPr="00A07774">
                            <w:rPr>
                              <w:spacing w:val="-2"/>
                              <w:sz w:val="17"/>
                              <w:u w:val="single" w:color="838383"/>
                              <w:lang w:val="pl-PL"/>
                            </w:rPr>
                            <w:t>winy)</w:t>
                          </w:r>
                          <w:r w:rsidRPr="00A07774">
                            <w:rPr>
                              <w:sz w:val="17"/>
                              <w:u w:val="single" w:color="838383"/>
                              <w:lang w:val="pl-PL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E01BBAD" id="Textbox 9" o:spid="_x0000_s1028" type="#_x0000_t202" style="position:absolute;margin-left:37pt;margin-top:47.95pt;width:523.65pt;height:1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" filled="f" stroked="f">
              <v:textbox inset="0,0,0,0">
                <w:txbxContent>
                  <w:p w14:paraId="17AB289E" w14:textId="7721CAE8" w:rsidR="008E3801" w:rsidRPr="00A07774" w:rsidRDefault="00000000">
                    <w:pPr>
                      <w:tabs>
                        <w:tab w:val="left" w:pos="10452"/>
                      </w:tabs>
                      <w:spacing w:line="203" w:lineRule="exact"/>
                      <w:ind w:left="20"/>
                      <w:rPr>
                        <w:sz w:val="18"/>
                        <w:lang w:val="pl-PL"/>
                      </w:rPr>
                    </w:pPr>
                    <w:r w:rsidRPr="00A07774">
                      <w:rPr>
                        <w:sz w:val="17"/>
                        <w:u w:val="single" w:color="838383"/>
                        <w:lang w:val="pl-PL"/>
                      </w:rPr>
                      <w:t xml:space="preserve">reguła (przedwczesne </w:t>
                    </w:r>
                    <w:r w:rsidR="00A07774" w:rsidRPr="00A07774">
                      <w:rPr>
                        <w:sz w:val="17"/>
                        <w:u w:val="single" w:color="838383"/>
                        <w:lang w:val="pl-PL"/>
                      </w:rPr>
                      <w:t>przyznanie się do</w:t>
                    </w:r>
                    <w:r w:rsidRPr="00A07774">
                      <w:rPr>
                        <w:sz w:val="17"/>
                        <w:u w:val="single" w:color="838383"/>
                        <w:lang w:val="pl-PL"/>
                      </w:rPr>
                      <w:t xml:space="preserve"> </w:t>
                    </w:r>
                    <w:r w:rsidRPr="00A07774">
                      <w:rPr>
                        <w:spacing w:val="-2"/>
                        <w:sz w:val="17"/>
                        <w:u w:val="single" w:color="838383"/>
                        <w:lang w:val="pl-PL"/>
                      </w:rPr>
                      <w:t>winy)</w:t>
                    </w:r>
                    <w:r w:rsidRPr="00A07774">
                      <w:rPr>
                        <w:sz w:val="17"/>
                        <w:u w:val="single" w:color="838383"/>
                        <w:lang w:val="pl-PL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B320"/>
    <w:multiLevelType w:val="hybridMultilevel"/>
    <w:tmpl w:val="CA1E9200"/>
    <w:lvl w:ilvl="0" w:tplc="C352BF3C">
      <w:numFmt w:val="bullet"/>
      <w:lvlText w:val="▪"/>
      <w:lvlJc w:val="left"/>
      <w:pPr>
        <w:ind w:left="1583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D25ED9E0">
      <w:numFmt w:val="bullet"/>
      <w:lvlText w:val="•"/>
      <w:lvlJc w:val="left"/>
      <w:pPr>
        <w:ind w:left="2471" w:hanging="284"/>
      </w:pPr>
      <w:rPr>
        <w:rFonts w:hint="default"/>
        <w:lang w:val="en-US" w:eastAsia="en-US" w:bidi="ar-SA"/>
      </w:rPr>
    </w:lvl>
    <w:lvl w:ilvl="2" w:tplc="0AF6E83E">
      <w:numFmt w:val="bullet"/>
      <w:lvlText w:val="•"/>
      <w:lvlJc w:val="left"/>
      <w:pPr>
        <w:ind w:left="3362" w:hanging="284"/>
      </w:pPr>
      <w:rPr>
        <w:rFonts w:hint="default"/>
        <w:lang w:val="en-US" w:eastAsia="en-US" w:bidi="ar-SA"/>
      </w:rPr>
    </w:lvl>
    <w:lvl w:ilvl="3" w:tplc="543CEFCC">
      <w:numFmt w:val="bullet"/>
      <w:lvlText w:val="•"/>
      <w:lvlJc w:val="left"/>
      <w:pPr>
        <w:ind w:left="4253" w:hanging="284"/>
      </w:pPr>
      <w:rPr>
        <w:rFonts w:hint="default"/>
        <w:lang w:val="en-US" w:eastAsia="en-US" w:bidi="ar-SA"/>
      </w:rPr>
    </w:lvl>
    <w:lvl w:ilvl="4" w:tplc="E3ACE59A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ar-SA"/>
      </w:rPr>
    </w:lvl>
    <w:lvl w:ilvl="5" w:tplc="CCE61DC0">
      <w:numFmt w:val="bullet"/>
      <w:lvlText w:val="•"/>
      <w:lvlJc w:val="left"/>
      <w:pPr>
        <w:ind w:left="6035" w:hanging="284"/>
      </w:pPr>
      <w:rPr>
        <w:rFonts w:hint="default"/>
        <w:lang w:val="en-US" w:eastAsia="en-US" w:bidi="ar-SA"/>
      </w:rPr>
    </w:lvl>
    <w:lvl w:ilvl="6" w:tplc="A8CAB87A">
      <w:numFmt w:val="bullet"/>
      <w:lvlText w:val="•"/>
      <w:lvlJc w:val="left"/>
      <w:pPr>
        <w:ind w:left="6926" w:hanging="284"/>
      </w:pPr>
      <w:rPr>
        <w:rFonts w:hint="default"/>
        <w:lang w:val="en-US" w:eastAsia="en-US" w:bidi="ar-SA"/>
      </w:rPr>
    </w:lvl>
    <w:lvl w:ilvl="7" w:tplc="A0A08B18">
      <w:numFmt w:val="bullet"/>
      <w:lvlText w:val="•"/>
      <w:lvlJc w:val="left"/>
      <w:pPr>
        <w:ind w:left="7817" w:hanging="284"/>
      </w:pPr>
      <w:rPr>
        <w:rFonts w:hint="default"/>
        <w:lang w:val="en-US" w:eastAsia="en-US" w:bidi="ar-SA"/>
      </w:rPr>
    </w:lvl>
    <w:lvl w:ilvl="8" w:tplc="80746C8E">
      <w:numFmt w:val="bullet"/>
      <w:lvlText w:val="•"/>
      <w:lvlJc w:val="left"/>
      <w:pPr>
        <w:ind w:left="870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DAF458C"/>
    <w:multiLevelType w:val="hybridMultilevel"/>
    <w:tmpl w:val="00000000"/>
    <w:lvl w:ilvl="0" w:tplc="43EC23D8">
      <w:start w:val="1"/>
      <w:numFmt w:val="lowerRoman"/>
      <w:lvlText w:val="(%1)"/>
      <w:lvlJc w:val="left"/>
      <w:pPr>
        <w:ind w:left="77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94B47A">
      <w:numFmt w:val="bullet"/>
      <w:lvlText w:val="•"/>
      <w:lvlJc w:val="left"/>
      <w:pPr>
        <w:ind w:left="1760" w:hanging="233"/>
      </w:pPr>
      <w:rPr>
        <w:rFonts w:hint="default"/>
        <w:lang w:val="en-US" w:eastAsia="en-US" w:bidi="ar-SA"/>
      </w:rPr>
    </w:lvl>
    <w:lvl w:ilvl="2" w:tplc="31FCDC82">
      <w:numFmt w:val="bullet"/>
      <w:lvlText w:val="•"/>
      <w:lvlJc w:val="left"/>
      <w:pPr>
        <w:ind w:left="2735" w:hanging="233"/>
      </w:pPr>
      <w:rPr>
        <w:rFonts w:hint="default"/>
        <w:lang w:val="en-US" w:eastAsia="en-US" w:bidi="ar-SA"/>
      </w:rPr>
    </w:lvl>
    <w:lvl w:ilvl="3" w:tplc="E6F4AACA">
      <w:numFmt w:val="bullet"/>
      <w:lvlText w:val="•"/>
      <w:lvlJc w:val="left"/>
      <w:pPr>
        <w:ind w:left="3710" w:hanging="233"/>
      </w:pPr>
      <w:rPr>
        <w:rFonts w:hint="default"/>
        <w:lang w:val="en-US" w:eastAsia="en-US" w:bidi="ar-SA"/>
      </w:rPr>
    </w:lvl>
    <w:lvl w:ilvl="4" w:tplc="8BF47E2A">
      <w:numFmt w:val="bullet"/>
      <w:lvlText w:val="•"/>
      <w:lvlJc w:val="left"/>
      <w:pPr>
        <w:ind w:left="4685" w:hanging="233"/>
      </w:pPr>
      <w:rPr>
        <w:rFonts w:hint="default"/>
        <w:lang w:val="en-US" w:eastAsia="en-US" w:bidi="ar-SA"/>
      </w:rPr>
    </w:lvl>
    <w:lvl w:ilvl="5" w:tplc="8FFAEA08">
      <w:numFmt w:val="bullet"/>
      <w:lvlText w:val="•"/>
      <w:lvlJc w:val="left"/>
      <w:pPr>
        <w:ind w:left="5660" w:hanging="233"/>
      </w:pPr>
      <w:rPr>
        <w:rFonts w:hint="default"/>
        <w:lang w:val="en-US" w:eastAsia="en-US" w:bidi="ar-SA"/>
      </w:rPr>
    </w:lvl>
    <w:lvl w:ilvl="6" w:tplc="BD08534C">
      <w:numFmt w:val="bullet"/>
      <w:lvlText w:val="•"/>
      <w:lvlJc w:val="left"/>
      <w:pPr>
        <w:ind w:left="6635" w:hanging="233"/>
      </w:pPr>
      <w:rPr>
        <w:rFonts w:hint="default"/>
        <w:lang w:val="en-US" w:eastAsia="en-US" w:bidi="ar-SA"/>
      </w:rPr>
    </w:lvl>
    <w:lvl w:ilvl="7" w:tplc="0742C274">
      <w:numFmt w:val="bullet"/>
      <w:lvlText w:val="•"/>
      <w:lvlJc w:val="left"/>
      <w:pPr>
        <w:ind w:left="7610" w:hanging="233"/>
      </w:pPr>
      <w:rPr>
        <w:rFonts w:hint="default"/>
        <w:lang w:val="en-US" w:eastAsia="en-US" w:bidi="ar-SA"/>
      </w:rPr>
    </w:lvl>
    <w:lvl w:ilvl="8" w:tplc="78FCCFB8">
      <w:numFmt w:val="bullet"/>
      <w:lvlText w:val="•"/>
      <w:lvlJc w:val="left"/>
      <w:pPr>
        <w:ind w:left="8585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31C6C8B2"/>
    <w:multiLevelType w:val="hybridMultilevel"/>
    <w:tmpl w:val="00000000"/>
    <w:lvl w:ilvl="0" w:tplc="DB329D94">
      <w:start w:val="1"/>
      <w:numFmt w:val="lowerRoman"/>
      <w:lvlText w:val="(%1)"/>
      <w:lvlJc w:val="left"/>
      <w:pPr>
        <w:ind w:left="101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D85496">
      <w:numFmt w:val="bullet"/>
      <w:lvlText w:val="•"/>
      <w:lvlJc w:val="left"/>
      <w:pPr>
        <w:ind w:left="1967" w:hanging="284"/>
      </w:pPr>
      <w:rPr>
        <w:rFonts w:hint="default"/>
        <w:lang w:val="en-US" w:eastAsia="en-US" w:bidi="ar-SA"/>
      </w:rPr>
    </w:lvl>
    <w:lvl w:ilvl="2" w:tplc="6D0275AE">
      <w:numFmt w:val="bullet"/>
      <w:lvlText w:val="•"/>
      <w:lvlJc w:val="left"/>
      <w:pPr>
        <w:ind w:left="2914" w:hanging="284"/>
      </w:pPr>
      <w:rPr>
        <w:rFonts w:hint="default"/>
        <w:lang w:val="en-US" w:eastAsia="en-US" w:bidi="ar-SA"/>
      </w:rPr>
    </w:lvl>
    <w:lvl w:ilvl="3" w:tplc="37F875F6">
      <w:numFmt w:val="bullet"/>
      <w:lvlText w:val="•"/>
      <w:lvlJc w:val="left"/>
      <w:pPr>
        <w:ind w:left="3861" w:hanging="284"/>
      </w:pPr>
      <w:rPr>
        <w:rFonts w:hint="default"/>
        <w:lang w:val="en-US" w:eastAsia="en-US" w:bidi="ar-SA"/>
      </w:rPr>
    </w:lvl>
    <w:lvl w:ilvl="4" w:tplc="DC9CEAB8">
      <w:numFmt w:val="bullet"/>
      <w:lvlText w:val="•"/>
      <w:lvlJc w:val="left"/>
      <w:pPr>
        <w:ind w:left="4808" w:hanging="284"/>
      </w:pPr>
      <w:rPr>
        <w:rFonts w:hint="default"/>
        <w:lang w:val="en-US" w:eastAsia="en-US" w:bidi="ar-SA"/>
      </w:rPr>
    </w:lvl>
    <w:lvl w:ilvl="5" w:tplc="25C2E5DC">
      <w:numFmt w:val="bullet"/>
      <w:lvlText w:val="•"/>
      <w:lvlJc w:val="left"/>
      <w:pPr>
        <w:ind w:left="5755" w:hanging="284"/>
      </w:pPr>
      <w:rPr>
        <w:rFonts w:hint="default"/>
        <w:lang w:val="en-US" w:eastAsia="en-US" w:bidi="ar-SA"/>
      </w:rPr>
    </w:lvl>
    <w:lvl w:ilvl="6" w:tplc="B70AB27C">
      <w:numFmt w:val="bullet"/>
      <w:lvlText w:val="•"/>
      <w:lvlJc w:val="left"/>
      <w:pPr>
        <w:ind w:left="6702" w:hanging="284"/>
      </w:pPr>
      <w:rPr>
        <w:rFonts w:hint="default"/>
        <w:lang w:val="en-US" w:eastAsia="en-US" w:bidi="ar-SA"/>
      </w:rPr>
    </w:lvl>
    <w:lvl w:ilvl="7" w:tplc="D58627A4">
      <w:numFmt w:val="bullet"/>
      <w:lvlText w:val="•"/>
      <w:lvlJc w:val="left"/>
      <w:pPr>
        <w:ind w:left="7649" w:hanging="284"/>
      </w:pPr>
      <w:rPr>
        <w:rFonts w:hint="default"/>
        <w:lang w:val="en-US" w:eastAsia="en-US" w:bidi="ar-SA"/>
      </w:rPr>
    </w:lvl>
    <w:lvl w:ilvl="8" w:tplc="4704ED7E">
      <w:numFmt w:val="bullet"/>
      <w:lvlText w:val="•"/>
      <w:lvlJc w:val="left"/>
      <w:pPr>
        <w:ind w:left="859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6FC61B0"/>
    <w:multiLevelType w:val="hybridMultilevel"/>
    <w:tmpl w:val="00000000"/>
    <w:lvl w:ilvl="0" w:tplc="FF447744">
      <w:numFmt w:val="bullet"/>
      <w:lvlText w:val="▪"/>
      <w:lvlJc w:val="left"/>
      <w:pPr>
        <w:ind w:left="1583" w:hanging="285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14613FE">
      <w:numFmt w:val="bullet"/>
      <w:lvlText w:val="•"/>
      <w:lvlJc w:val="left"/>
      <w:pPr>
        <w:ind w:left="2471" w:hanging="285"/>
      </w:pPr>
      <w:rPr>
        <w:rFonts w:hint="default"/>
        <w:lang w:val="en-US" w:eastAsia="en-US" w:bidi="ar-SA"/>
      </w:rPr>
    </w:lvl>
    <w:lvl w:ilvl="2" w:tplc="704805F0">
      <w:numFmt w:val="bullet"/>
      <w:lvlText w:val="•"/>
      <w:lvlJc w:val="left"/>
      <w:pPr>
        <w:ind w:left="3362" w:hanging="285"/>
      </w:pPr>
      <w:rPr>
        <w:rFonts w:hint="default"/>
        <w:lang w:val="en-US" w:eastAsia="en-US" w:bidi="ar-SA"/>
      </w:rPr>
    </w:lvl>
    <w:lvl w:ilvl="3" w:tplc="02A0FA7C">
      <w:numFmt w:val="bullet"/>
      <w:lvlText w:val="•"/>
      <w:lvlJc w:val="left"/>
      <w:pPr>
        <w:ind w:left="4253" w:hanging="285"/>
      </w:pPr>
      <w:rPr>
        <w:rFonts w:hint="default"/>
        <w:lang w:val="en-US" w:eastAsia="en-US" w:bidi="ar-SA"/>
      </w:rPr>
    </w:lvl>
    <w:lvl w:ilvl="4" w:tplc="0BFADECC">
      <w:numFmt w:val="bullet"/>
      <w:lvlText w:val="•"/>
      <w:lvlJc w:val="left"/>
      <w:pPr>
        <w:ind w:left="5144" w:hanging="285"/>
      </w:pPr>
      <w:rPr>
        <w:rFonts w:hint="default"/>
        <w:lang w:val="en-US" w:eastAsia="en-US" w:bidi="ar-SA"/>
      </w:rPr>
    </w:lvl>
    <w:lvl w:ilvl="5" w:tplc="F6502098">
      <w:numFmt w:val="bullet"/>
      <w:lvlText w:val="•"/>
      <w:lvlJc w:val="left"/>
      <w:pPr>
        <w:ind w:left="6035" w:hanging="285"/>
      </w:pPr>
      <w:rPr>
        <w:rFonts w:hint="default"/>
        <w:lang w:val="en-US" w:eastAsia="en-US" w:bidi="ar-SA"/>
      </w:rPr>
    </w:lvl>
    <w:lvl w:ilvl="6" w:tplc="BFA6B63A">
      <w:numFmt w:val="bullet"/>
      <w:lvlText w:val="•"/>
      <w:lvlJc w:val="left"/>
      <w:pPr>
        <w:ind w:left="6926" w:hanging="285"/>
      </w:pPr>
      <w:rPr>
        <w:rFonts w:hint="default"/>
        <w:lang w:val="en-US" w:eastAsia="en-US" w:bidi="ar-SA"/>
      </w:rPr>
    </w:lvl>
    <w:lvl w:ilvl="7" w:tplc="62DADBB6">
      <w:numFmt w:val="bullet"/>
      <w:lvlText w:val="•"/>
      <w:lvlJc w:val="left"/>
      <w:pPr>
        <w:ind w:left="7817" w:hanging="285"/>
      </w:pPr>
      <w:rPr>
        <w:rFonts w:hint="default"/>
        <w:lang w:val="en-US" w:eastAsia="en-US" w:bidi="ar-SA"/>
      </w:rPr>
    </w:lvl>
    <w:lvl w:ilvl="8" w:tplc="941464D6">
      <w:numFmt w:val="bullet"/>
      <w:lvlText w:val="•"/>
      <w:lvlJc w:val="left"/>
      <w:pPr>
        <w:ind w:left="8708" w:hanging="285"/>
      </w:pPr>
      <w:rPr>
        <w:rFonts w:hint="default"/>
        <w:lang w:val="en-US" w:eastAsia="en-US" w:bidi="ar-SA"/>
      </w:rPr>
    </w:lvl>
  </w:abstractNum>
  <w:num w:numId="1" w16cid:durableId="312686166">
    <w:abstractNumId w:val="0"/>
  </w:num>
  <w:num w:numId="2" w16cid:durableId="1940720798">
    <w:abstractNumId w:val="1"/>
  </w:num>
  <w:num w:numId="3" w16cid:durableId="418794007">
    <w:abstractNumId w:val="2"/>
  </w:num>
  <w:num w:numId="4" w16cid:durableId="1995403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01"/>
    <w:rsid w:val="00025762"/>
    <w:rsid w:val="0007388F"/>
    <w:rsid w:val="000E71CD"/>
    <w:rsid w:val="00231EEF"/>
    <w:rsid w:val="002C53E5"/>
    <w:rsid w:val="003C08B8"/>
    <w:rsid w:val="003C20D3"/>
    <w:rsid w:val="00414A0D"/>
    <w:rsid w:val="004A7423"/>
    <w:rsid w:val="00507C9B"/>
    <w:rsid w:val="006A0E19"/>
    <w:rsid w:val="00774A22"/>
    <w:rsid w:val="007C42BD"/>
    <w:rsid w:val="007D037A"/>
    <w:rsid w:val="00820EB7"/>
    <w:rsid w:val="00875812"/>
    <w:rsid w:val="008D10A2"/>
    <w:rsid w:val="008E3801"/>
    <w:rsid w:val="008E4DB1"/>
    <w:rsid w:val="00924976"/>
    <w:rsid w:val="009307ED"/>
    <w:rsid w:val="0096001B"/>
    <w:rsid w:val="009660BC"/>
    <w:rsid w:val="009809B0"/>
    <w:rsid w:val="00A07774"/>
    <w:rsid w:val="00A33199"/>
    <w:rsid w:val="00A34F63"/>
    <w:rsid w:val="00A83DD2"/>
    <w:rsid w:val="00B07EA5"/>
    <w:rsid w:val="00B1563B"/>
    <w:rsid w:val="00B3180C"/>
    <w:rsid w:val="00C36FD4"/>
    <w:rsid w:val="00CF31C3"/>
    <w:rsid w:val="00D204A9"/>
    <w:rsid w:val="00E3092C"/>
    <w:rsid w:val="00E76E5C"/>
    <w:rsid w:val="00ED7E52"/>
    <w:rsid w:val="00F04278"/>
    <w:rsid w:val="00F24E84"/>
    <w:rsid w:val="00FC1556"/>
    <w:rsid w:val="00FD3298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0FABA"/>
  <w15:docId w15:val="{60C65A4B-4D9A-41D8-AC33-67C32FCB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73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732" w:right="730"/>
      <w:jc w:val="both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732"/>
      <w:jc w:val="both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732"/>
      <w:jc w:val="both"/>
    </w:pPr>
  </w:style>
  <w:style w:type="paragraph" w:styleId="Akapitzlist">
    <w:name w:val="List Paragraph"/>
    <w:basedOn w:val="Normalny"/>
    <w:uiPriority w:val="1"/>
    <w:qFormat/>
    <w:pPr>
      <w:spacing w:before="60"/>
      <w:ind w:left="1583" w:right="72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2C53E5"/>
    <w:pPr>
      <w:widowControl/>
      <w:autoSpaceDE/>
      <w:autoSpaceDN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C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3E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C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3E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udoc.echr.coe.int/eng?i=001-226425" TargetMode="External"/><Relationship Id="rId21" Type="http://schemas.openxmlformats.org/officeDocument/2006/relationships/image" Target="media/image2.jpeg"/><Relationship Id="rId42" Type="http://schemas.openxmlformats.org/officeDocument/2006/relationships/hyperlink" Target="https://hudoc.echr.coe.int/eng?i=001-229604" TargetMode="External"/><Relationship Id="rId47" Type="http://schemas.openxmlformats.org/officeDocument/2006/relationships/hyperlink" Target="https://hudoc.echr.coe.int/eng?i=001-195531" TargetMode="External"/><Relationship Id="rId63" Type="http://schemas.openxmlformats.org/officeDocument/2006/relationships/hyperlink" Target="https://hudoc.echr.coe.int/eng?i=001-127426" TargetMode="External"/><Relationship Id="rId68" Type="http://schemas.openxmlformats.org/officeDocument/2006/relationships/hyperlink" Target="https://hudoc.echr.coe.int/eng?i=001-87040" TargetMode="External"/><Relationship Id="rId84" Type="http://schemas.openxmlformats.org/officeDocument/2006/relationships/hyperlink" Target="https://hudoc.echr.coe.int/eng?i=001-170450" TargetMode="External"/><Relationship Id="rId89" Type="http://schemas.openxmlformats.org/officeDocument/2006/relationships/hyperlink" Target="http://hudoc.echr.coe.int/eng?i=001-216702" TargetMode="External"/><Relationship Id="rId16" Type="http://schemas.openxmlformats.org/officeDocument/2006/relationships/hyperlink" Target="http://hudoc.echr.coe.int/eng?i=001-139897" TargetMode="External"/><Relationship Id="rId11" Type="http://schemas.openxmlformats.org/officeDocument/2006/relationships/hyperlink" Target="https://hudoc.echr.coe.int/eng?i=001-211322" TargetMode="External"/><Relationship Id="rId32" Type="http://schemas.openxmlformats.org/officeDocument/2006/relationships/hyperlink" Target="https://hudoc.echr.coe.int/eng?i=001-220456" TargetMode="External"/><Relationship Id="rId37" Type="http://schemas.openxmlformats.org/officeDocument/2006/relationships/hyperlink" Target="http://hudoc.echr.coe.int/eng?i=001-98189" TargetMode="External"/><Relationship Id="rId53" Type="http://schemas.openxmlformats.org/officeDocument/2006/relationships/hyperlink" Target="https://hudoc.echr.coe.int/eng?i=001-127426" TargetMode="External"/><Relationship Id="rId58" Type="http://schemas.openxmlformats.org/officeDocument/2006/relationships/hyperlink" Target="https://hudoc.echr.coe.int/eng?i=001-57577" TargetMode="External"/><Relationship Id="rId74" Type="http://schemas.openxmlformats.org/officeDocument/2006/relationships/hyperlink" Target="https://hudoc.echr.coe.int/eng?i=001-76896" TargetMode="External"/><Relationship Id="rId79" Type="http://schemas.openxmlformats.org/officeDocument/2006/relationships/hyperlink" Target="https://hudoc.echr.coe.int/eng?i=001-10624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hudoc.echr.coe.int/eng?i=001-220456" TargetMode="External"/><Relationship Id="rId95" Type="http://schemas.openxmlformats.org/officeDocument/2006/relationships/hyperlink" Target="https://hudoc.echr.coe.int/eng?i=001-233738" TargetMode="External"/><Relationship Id="rId22" Type="http://schemas.openxmlformats.org/officeDocument/2006/relationships/hyperlink" Target="https://hudoc.echr.coe.int/eng?i=001-76896" TargetMode="External"/><Relationship Id="rId27" Type="http://schemas.openxmlformats.org/officeDocument/2006/relationships/hyperlink" Target="https://hudoc.echr.coe.int/eng?i=001-229604" TargetMode="External"/><Relationship Id="rId43" Type="http://schemas.openxmlformats.org/officeDocument/2006/relationships/hyperlink" Target="https://hudoc.echr.coe.int/eng?i=001-220456" TargetMode="External"/><Relationship Id="rId48" Type="http://schemas.openxmlformats.org/officeDocument/2006/relationships/hyperlink" Target="https://hudoc.echr.coe.int/eng?i=001-58920" TargetMode="External"/><Relationship Id="rId64" Type="http://schemas.openxmlformats.org/officeDocument/2006/relationships/hyperlink" Target="https://hudoc.echr.coe.int/eng?i=001-229604" TargetMode="External"/><Relationship Id="rId69" Type="http://schemas.openxmlformats.org/officeDocument/2006/relationships/hyperlink" Target="https://hudoc.echr.coe.int/eng?i=001-104858" TargetMode="External"/><Relationship Id="rId80" Type="http://schemas.openxmlformats.org/officeDocument/2006/relationships/hyperlink" Target="https://hudoc.echr.coe.int/eng?i=001-111525" TargetMode="External"/><Relationship Id="rId85" Type="http://schemas.openxmlformats.org/officeDocument/2006/relationships/hyperlink" Target="https://hudoc.echr.coe.int/eng?i=001-171942" TargetMode="External"/><Relationship Id="rId3" Type="http://schemas.openxmlformats.org/officeDocument/2006/relationships/styles" Target="styles.xml"/><Relationship Id="rId12" Type="http://schemas.openxmlformats.org/officeDocument/2006/relationships/hyperlink" Target="https://hudoc.echr.coe.int/eng?i=001-57914" TargetMode="External"/><Relationship Id="rId17" Type="http://schemas.openxmlformats.org/officeDocument/2006/relationships/hyperlink" Target="https://hudoc.echr.coe.int/eng?i=001-171942" TargetMode="External"/><Relationship Id="rId25" Type="http://schemas.openxmlformats.org/officeDocument/2006/relationships/hyperlink" Target="https://hudoc.echr.coe.int/eng?i=001-139897" TargetMode="External"/><Relationship Id="rId33" Type="http://schemas.openxmlformats.org/officeDocument/2006/relationships/hyperlink" Target="https://hudoc.echr.coe.int/eng?i=001-76896" TargetMode="External"/><Relationship Id="rId38" Type="http://schemas.openxmlformats.org/officeDocument/2006/relationships/hyperlink" Target="https://hudoc.echr.coe.int/eng?i=001-211322" TargetMode="External"/><Relationship Id="rId46" Type="http://schemas.openxmlformats.org/officeDocument/2006/relationships/hyperlink" Target="http://hudoc.echr.coe.int/eng?i=001-139897" TargetMode="External"/><Relationship Id="rId59" Type="http://schemas.openxmlformats.org/officeDocument/2006/relationships/hyperlink" Target="https://hudoc.echr.coe.int/eng?i=001-228977" TargetMode="External"/><Relationship Id="rId67" Type="http://schemas.openxmlformats.org/officeDocument/2006/relationships/hyperlink" Target="https://hudoc.echr.coe.int/eng?i=001-69110" TargetMode="External"/><Relationship Id="rId20" Type="http://schemas.openxmlformats.org/officeDocument/2006/relationships/hyperlink" Target="https://hudoc.echr.coe.int/eng?i=001-226425" TargetMode="External"/><Relationship Id="rId41" Type="http://schemas.openxmlformats.org/officeDocument/2006/relationships/footer" Target="footer1.xml"/><Relationship Id="rId54" Type="http://schemas.openxmlformats.org/officeDocument/2006/relationships/hyperlink" Target="http://hudoc.echr.coe.int/eng?i=001-195531" TargetMode="External"/><Relationship Id="rId62" Type="http://schemas.openxmlformats.org/officeDocument/2006/relationships/hyperlink" Target="https://hudoc.echr.coe.int/eng?i=001-225464" TargetMode="External"/><Relationship Id="rId70" Type="http://schemas.openxmlformats.org/officeDocument/2006/relationships/hyperlink" Target="https://hudoc.echr.coe.int/eng?i=001-195531" TargetMode="External"/><Relationship Id="rId75" Type="http://schemas.openxmlformats.org/officeDocument/2006/relationships/hyperlink" Target="https://hudoc.echr.coe.int/eng?i=001-87040" TargetMode="External"/><Relationship Id="rId83" Type="http://schemas.openxmlformats.org/officeDocument/2006/relationships/hyperlink" Target="https://hudoc.echr.coe.int/eng?i=001-156428" TargetMode="External"/><Relationship Id="rId88" Type="http://schemas.openxmlformats.org/officeDocument/2006/relationships/hyperlink" Target="https://hudoc.echr.coe.int/eng?i=001-211322" TargetMode="External"/><Relationship Id="rId91" Type="http://schemas.openxmlformats.org/officeDocument/2006/relationships/hyperlink" Target="https://hudoc.echr.coe.int/eng?i=001-226425" TargetMode="External"/><Relationship Id="rId96" Type="http://schemas.openxmlformats.org/officeDocument/2006/relationships/hyperlink" Target="https://hudoc.echr.coe.int/eng?i=001-236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udoc.echr.coe.int/eng?i=001-139897" TargetMode="External"/><Relationship Id="rId23" Type="http://schemas.openxmlformats.org/officeDocument/2006/relationships/hyperlink" Target="https://hudoc.echr.coe.int/eng?i=001-111525" TargetMode="External"/><Relationship Id="rId28" Type="http://schemas.openxmlformats.org/officeDocument/2006/relationships/hyperlink" Target="https://hudoc.echr.coe.int/eng?i=001-220456" TargetMode="External"/><Relationship Id="rId36" Type="http://schemas.openxmlformats.org/officeDocument/2006/relationships/hyperlink" Target="https://hudoc.echr.coe.int/eng?i=001-204604" TargetMode="External"/><Relationship Id="rId49" Type="http://schemas.openxmlformats.org/officeDocument/2006/relationships/hyperlink" Target="https://hudoc.echr.coe.int/eng?i=001-229604" TargetMode="External"/><Relationship Id="rId57" Type="http://schemas.openxmlformats.org/officeDocument/2006/relationships/hyperlink" Target="https://hudoc.echr.coe.int/eng?i=001-236186" TargetMode="External"/><Relationship Id="rId10" Type="http://schemas.openxmlformats.org/officeDocument/2006/relationships/hyperlink" Target="http://hudoc.echr.coe.int/eng?i=001-122859" TargetMode="External"/><Relationship Id="rId31" Type="http://schemas.openxmlformats.org/officeDocument/2006/relationships/hyperlink" Target="https://hudoc.echr.coe.int/eng?i=001-226425" TargetMode="External"/><Relationship Id="rId44" Type="http://schemas.openxmlformats.org/officeDocument/2006/relationships/hyperlink" Target="https://hudoc.echr.coe.int/eng?i=001-87040" TargetMode="External"/><Relationship Id="rId52" Type="http://schemas.openxmlformats.org/officeDocument/2006/relationships/hyperlink" Target="https://hudoc.echr.coe.int/eng?i=001-127426" TargetMode="External"/><Relationship Id="rId60" Type="http://schemas.openxmlformats.org/officeDocument/2006/relationships/hyperlink" Target="https://hudoc.echr.coe.int/eng?i=001-127426" TargetMode="External"/><Relationship Id="rId65" Type="http://schemas.openxmlformats.org/officeDocument/2006/relationships/hyperlink" Target="https://hudoc.echr.coe.int/?i=001-229127" TargetMode="External"/><Relationship Id="rId73" Type="http://schemas.openxmlformats.org/officeDocument/2006/relationships/hyperlink" Target="https://hudoc.echr.coe.int/eng?i=001-69110" TargetMode="External"/><Relationship Id="rId78" Type="http://schemas.openxmlformats.org/officeDocument/2006/relationships/hyperlink" Target="https://hudoc.echr.coe.int/eng?i=001-104858" TargetMode="External"/><Relationship Id="rId81" Type="http://schemas.openxmlformats.org/officeDocument/2006/relationships/hyperlink" Target="https://hudoc.echr.coe.int/eng?i=001-127426" TargetMode="External"/><Relationship Id="rId86" Type="http://schemas.openxmlformats.org/officeDocument/2006/relationships/hyperlink" Target="https://hudoc.echr.coe.int/eng?i=001-195531" TargetMode="External"/><Relationship Id="rId94" Type="http://schemas.openxmlformats.org/officeDocument/2006/relationships/hyperlink" Target="https://hudoc.echr.coe.int/eng?i=001-229604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udoc.echr.coe.int/eng?i=001-122859" TargetMode="External"/><Relationship Id="rId13" Type="http://schemas.openxmlformats.org/officeDocument/2006/relationships/hyperlink" Target="https://hudoc.echr.coe.int/eng?i=001-57914" TargetMode="External"/><Relationship Id="rId18" Type="http://schemas.openxmlformats.org/officeDocument/2006/relationships/hyperlink" Target="https://hudoc.echr.coe.int/eng?i=001-220456" TargetMode="External"/><Relationship Id="rId39" Type="http://schemas.openxmlformats.org/officeDocument/2006/relationships/hyperlink" Target="https://hudoc.echr.coe.int/eng?i=001-211322" TargetMode="External"/><Relationship Id="rId34" Type="http://schemas.openxmlformats.org/officeDocument/2006/relationships/hyperlink" Target="https://hudoc.echr.coe.int/eng?i=001-111525" TargetMode="External"/><Relationship Id="rId50" Type="http://schemas.openxmlformats.org/officeDocument/2006/relationships/hyperlink" Target="https://hudoc.echr.coe.int/eng?i=001-23820" TargetMode="External"/><Relationship Id="rId55" Type="http://schemas.openxmlformats.org/officeDocument/2006/relationships/hyperlink" Target="http://hudoc.echr.coe.int/eng?i=001-195531" TargetMode="External"/><Relationship Id="rId76" Type="http://schemas.openxmlformats.org/officeDocument/2006/relationships/hyperlink" Target="http://hudoc.echr.coe.int/eng?i=001-98189" TargetMode="External"/><Relationship Id="rId97" Type="http://schemas.openxmlformats.org/officeDocument/2006/relationships/hyperlink" Target="https://hudoc.echr.coe.int/eng?i=001-23619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udoc.echr.coe.int/eng?i=001-229604" TargetMode="External"/><Relationship Id="rId92" Type="http://schemas.openxmlformats.org/officeDocument/2006/relationships/hyperlink" Target="https://hudoc.echr.coe.int/eng?i=001-22897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hudoc.echr.coe.int/eng?i=001-226425" TargetMode="External"/><Relationship Id="rId24" Type="http://schemas.openxmlformats.org/officeDocument/2006/relationships/hyperlink" Target="https://hudoc.echr.coe.int/eng?i=001-111525" TargetMode="External"/><Relationship Id="rId40" Type="http://schemas.openxmlformats.org/officeDocument/2006/relationships/header" Target="header1.xml"/><Relationship Id="rId45" Type="http://schemas.openxmlformats.org/officeDocument/2006/relationships/hyperlink" Target="https://hudoc.echr.coe.int/eng?i=001-23820" TargetMode="External"/><Relationship Id="rId66" Type="http://schemas.openxmlformats.org/officeDocument/2006/relationships/hyperlink" Target="https://hudoc.echr.coe.int/eng?i=001-156428" TargetMode="External"/><Relationship Id="rId87" Type="http://schemas.openxmlformats.org/officeDocument/2006/relationships/hyperlink" Target="https://hudoc.echr.coe.int/eng?i=001-196374" TargetMode="External"/><Relationship Id="rId61" Type="http://schemas.openxmlformats.org/officeDocument/2006/relationships/hyperlink" Target="http://hudoc.echr.coe.int/eng?i=001-111525" TargetMode="External"/><Relationship Id="rId82" Type="http://schemas.openxmlformats.org/officeDocument/2006/relationships/hyperlink" Target="http://hudoc.echr.coe.int/eng?i=001-139897" TargetMode="External"/><Relationship Id="rId19" Type="http://schemas.openxmlformats.org/officeDocument/2006/relationships/hyperlink" Target="https://hudoc.echr.coe.int/eng?i=001-220456" TargetMode="External"/><Relationship Id="rId14" Type="http://schemas.openxmlformats.org/officeDocument/2006/relationships/hyperlink" Target="https://hudoc.echr.coe.int/eng?i=001-76896" TargetMode="External"/><Relationship Id="rId30" Type="http://schemas.openxmlformats.org/officeDocument/2006/relationships/hyperlink" Target="https://hudoc.echr.coe.int/eng?i=001-220456" TargetMode="External"/><Relationship Id="rId35" Type="http://schemas.openxmlformats.org/officeDocument/2006/relationships/hyperlink" Target="http://hudoc.echr.coe.int/eng?i=001-216702" TargetMode="External"/><Relationship Id="rId56" Type="http://schemas.openxmlformats.org/officeDocument/2006/relationships/hyperlink" Target="https://hudoc.echr.coe.int/eng?i=001-127426" TargetMode="External"/><Relationship Id="rId77" Type="http://schemas.openxmlformats.org/officeDocument/2006/relationships/hyperlink" Target="https://hudoc.echr.coe.int/eng?i=001-100817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hudoc.echr.coe.int/eng?i=001-87040" TargetMode="External"/><Relationship Id="rId72" Type="http://schemas.openxmlformats.org/officeDocument/2006/relationships/hyperlink" Target="https://hudoc.echr.coe.int/eng?i=001-23820" TargetMode="External"/><Relationship Id="rId93" Type="http://schemas.openxmlformats.org/officeDocument/2006/relationships/hyperlink" Target="https://hudoc.echr.coe.int/eng?i=001-229127" TargetMode="External"/><Relationship Id="rId98" Type="http://schemas.openxmlformats.org/officeDocument/2006/relationships/hyperlink" Target="https://hudoc.echr.coe.int/fre?i=001-238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CC0E-42DC-41C0-BF64-B28DFEF3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4071</Words>
  <Characters>24432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Exhaustion of domestic legal remedies/compliance with the four-month rule (premature expressions of guilt)</vt:lpstr>
    </vt:vector>
  </TitlesOfParts>
  <Company/>
  <LinksUpToDate>false</LinksUpToDate>
  <CharactersWithSpaces>28447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Exhaustion of domestic legal remedies/compliance with the four-month rule (premature expressions of guilt)</dc:title>
  <dc:subject>Exhaustion of domestic legal remedies/compliance with the four-month rule (premature expressions of guilt)</dc:subject>
  <dc:creator>ECHR - CEDH</dc:creator>
  <cp:keywords>Exhaustion of domestic legal remedies/compliance with the four-month rule (premature expressions of guilt), docId:E2993CAC5606D25FF4502F07C0C4FC14</cp:keywords>
  <cp:lastModifiedBy>Szponar Paweł  (DWMPC)</cp:lastModifiedBy>
  <cp:revision>15</cp:revision>
  <dcterms:created xsi:type="dcterms:W3CDTF">2025-08-14T06:53:00Z</dcterms:created>
  <dcterms:modified xsi:type="dcterms:W3CDTF">2025-10-20T12:38:00Z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2025-08-14T00:00:00Z</vt:filetime>
  </property>
  <property fmtid="{D5CDD505-2E9C-101B-9397-08002B2CF9AE}" pid="5" name="Producer">
    <vt:lpwstr>Aspose.Words for .NET 24.4.0</vt:lpwstr>
  </property>
</Properties>
</file>